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180D11">
        <w:rPr>
          <w:rFonts w:ascii="Tahoma" w:hAnsi="Tahoma" w:cs="Tahoma"/>
          <w:b/>
          <w:sz w:val="24"/>
          <w:szCs w:val="24"/>
        </w:rPr>
        <w:t>2122/15-2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EE1616">
        <w:rPr>
          <w:rFonts w:ascii="Tahoma" w:hAnsi="Tahoma" w:cs="Tahoma"/>
          <w:b/>
          <w:sz w:val="24"/>
          <w:szCs w:val="24"/>
        </w:rPr>
        <w:t>22</w:t>
      </w:r>
      <w:r w:rsidR="00FB7A22" w:rsidRPr="00CB7AD5">
        <w:rPr>
          <w:rFonts w:ascii="Tahoma" w:hAnsi="Tahoma" w:cs="Tahoma"/>
          <w:b/>
          <w:sz w:val="24"/>
          <w:szCs w:val="24"/>
        </w:rPr>
        <w:t>.</w:t>
      </w:r>
      <w:r w:rsidR="001C036F">
        <w:rPr>
          <w:rFonts w:ascii="Tahoma" w:hAnsi="Tahoma" w:cs="Tahoma"/>
          <w:b/>
          <w:sz w:val="24"/>
          <w:szCs w:val="24"/>
        </w:rPr>
        <w:t>0</w:t>
      </w:r>
      <w:r w:rsidR="007F4619">
        <w:rPr>
          <w:rFonts w:ascii="Tahoma" w:hAnsi="Tahoma" w:cs="Tahoma"/>
          <w:b/>
          <w:sz w:val="24"/>
          <w:szCs w:val="24"/>
        </w:rPr>
        <w:t>7</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180D11">
        <w:rPr>
          <w:rFonts w:ascii="Tahoma" w:hAnsi="Tahoma" w:cs="Tahoma"/>
          <w:sz w:val="24"/>
          <w:szCs w:val="24"/>
        </w:rPr>
        <w:t>56425</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D54C6E">
        <w:rPr>
          <w:rFonts w:ascii="Tahoma" w:hAnsi="Tahoma" w:cs="Tahoma"/>
          <w:bCs/>
          <w:color w:val="000000"/>
          <w:sz w:val="24"/>
          <w:szCs w:val="24"/>
        </w:rPr>
        <w:t>08-</w:t>
      </w:r>
      <w:r w:rsidR="00A12D89">
        <w:rPr>
          <w:rFonts w:ascii="Tahoma" w:hAnsi="Tahoma" w:cs="Tahoma"/>
          <w:bCs/>
          <w:color w:val="000000"/>
          <w:sz w:val="24"/>
          <w:szCs w:val="24"/>
        </w:rPr>
        <w:t>5</w:t>
      </w:r>
      <w:r w:rsidR="00D54C6E">
        <w:rPr>
          <w:rFonts w:ascii="Tahoma" w:hAnsi="Tahoma" w:cs="Tahoma"/>
          <w:bCs/>
          <w:color w:val="000000"/>
          <w:sz w:val="24"/>
          <w:szCs w:val="24"/>
        </w:rPr>
        <w:t>-</w:t>
      </w:r>
      <w:r w:rsidR="00A12D89">
        <w:rPr>
          <w:rFonts w:ascii="Tahoma" w:hAnsi="Tahoma" w:cs="Tahoma"/>
          <w:bCs/>
          <w:color w:val="000000"/>
          <w:sz w:val="24"/>
          <w:szCs w:val="24"/>
        </w:rPr>
        <w:t>257</w:t>
      </w:r>
      <w:r w:rsidR="00D54C6E">
        <w:rPr>
          <w:rFonts w:ascii="Tahoma" w:hAnsi="Tahoma" w:cs="Tahoma"/>
          <w:bCs/>
          <w:color w:val="000000"/>
          <w:sz w:val="24"/>
          <w:szCs w:val="24"/>
        </w:rPr>
        <w:t>/2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08-5-257/2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180D11">
        <w:rPr>
          <w:rFonts w:ascii="Tahoma" w:hAnsi="Tahoma" w:cs="Tahoma"/>
          <w:sz w:val="24"/>
          <w:szCs w:val="24"/>
        </w:rPr>
        <w:t>56425</w:t>
      </w:r>
      <w:r w:rsidR="00EE33E7">
        <w:rPr>
          <w:rFonts w:ascii="Tahoma" w:hAnsi="Tahoma" w:cs="Tahoma"/>
          <w:sz w:val="24"/>
          <w:szCs w:val="24"/>
        </w:rPr>
        <w:t xml:space="preserve"> </w:t>
      </w:r>
      <w:proofErr w:type="gramStart"/>
      <w:r w:rsidR="00EE33E7" w:rsidRPr="00CB7AD5">
        <w:rPr>
          <w:rFonts w:ascii="Tahoma" w:hAnsi="Tahoma" w:cs="Tahoma"/>
          <w:sz w:val="24"/>
          <w:szCs w:val="24"/>
        </w:rPr>
        <w:t>od</w:t>
      </w:r>
      <w:proofErr w:type="gramEnd"/>
      <w:r w:rsidR="00EE33E7" w:rsidRPr="00CB7AD5">
        <w:rPr>
          <w:rFonts w:ascii="Tahoma" w:hAnsi="Tahoma" w:cs="Tahoma"/>
          <w:sz w:val="24"/>
          <w:szCs w:val="24"/>
        </w:rPr>
        <w:t xml:space="preserve"> </w:t>
      </w:r>
      <w:r w:rsidR="00A12D89">
        <w:rPr>
          <w:rFonts w:ascii="Tahoma" w:hAnsi="Tahoma" w:cs="Tahoma"/>
          <w:sz w:val="24"/>
          <w:szCs w:val="24"/>
        </w:rPr>
        <w:t>24</w:t>
      </w:r>
      <w:r w:rsidR="00EE33E7">
        <w:rPr>
          <w:rFonts w:ascii="Tahoma" w:hAnsi="Tahoma" w:cs="Tahoma"/>
          <w:sz w:val="24"/>
          <w:szCs w:val="24"/>
        </w:rPr>
        <w:t>.10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A12D89">
        <w:rPr>
          <w:rFonts w:ascii="Tahoma" w:hAnsi="Tahoma" w:cs="Tahoma"/>
          <w:sz w:val="24"/>
          <w:szCs w:val="24"/>
        </w:rPr>
        <w:t xml:space="preserve">Savjet </w:t>
      </w:r>
      <w:r w:rsidR="00A12D89">
        <w:rPr>
          <w:rFonts w:ascii="Tahoma" w:hAnsi="Tahoma" w:cs="Tahoma"/>
          <w:sz w:val="24"/>
          <w:szCs w:val="24"/>
          <w:lang w:val="sr-Latn-CS"/>
        </w:rPr>
        <w:t>za regulatornu reformu i unaprjeđenje poslovnog ambijenta</w:t>
      </w:r>
      <w:r w:rsidR="00EE33E7">
        <w:rPr>
          <w:rFonts w:ascii="Tahoma" w:hAnsi="Tahoma" w:cs="Tahoma"/>
          <w:sz w:val="24"/>
          <w:szCs w:val="24"/>
        </w:rPr>
        <w:t xml:space="preserve">; Program: </w:t>
      </w:r>
      <w:r w:rsidR="00A12D89" w:rsidRPr="00A12D89">
        <w:rPr>
          <w:rFonts w:ascii="Tahoma" w:hAnsi="Tahoma" w:cs="Tahoma"/>
          <w:sz w:val="24"/>
          <w:szCs w:val="24"/>
        </w:rPr>
        <w:t xml:space="preserve">Savjet </w:t>
      </w:r>
      <w:r w:rsidR="00A12D89" w:rsidRPr="00A12D89">
        <w:rPr>
          <w:rFonts w:ascii="Tahoma" w:hAnsi="Tahoma" w:cs="Tahoma"/>
          <w:sz w:val="24"/>
          <w:szCs w:val="24"/>
          <w:lang w:val="sr-Latn-CS"/>
        </w:rPr>
        <w:t>za regulatornu reformu i unaprjeđenje poslovnog ambijenta</w:t>
      </w:r>
      <w:r w:rsidR="00EE33E7">
        <w:rPr>
          <w:rFonts w:ascii="Tahoma" w:hAnsi="Tahoma" w:cs="Tahoma"/>
          <w:sz w:val="24"/>
          <w:szCs w:val="24"/>
        </w:rPr>
        <w:t>; Funkcionalna klasifikacija: 0</w:t>
      </w:r>
      <w:r w:rsidR="00A12D89">
        <w:rPr>
          <w:rFonts w:ascii="Tahoma" w:hAnsi="Tahoma" w:cs="Tahoma"/>
          <w:sz w:val="24"/>
          <w:szCs w:val="24"/>
        </w:rPr>
        <w:t>112; Ekonomska klasifikacija: 4311</w:t>
      </w:r>
      <w:r w:rsidR="00EE33E7">
        <w:rPr>
          <w:rFonts w:ascii="Tahoma" w:hAnsi="Tahoma" w:cs="Tahoma"/>
          <w:sz w:val="24"/>
          <w:szCs w:val="24"/>
        </w:rPr>
        <w:t xml:space="preserve">; Opis: </w:t>
      </w:r>
      <w:r w:rsidR="00A12D89">
        <w:rPr>
          <w:rFonts w:ascii="Tahoma" w:hAnsi="Tahoma" w:cs="Tahoma"/>
          <w:sz w:val="24"/>
          <w:szCs w:val="24"/>
        </w:rPr>
        <w:t>Transferi javnim institucijama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ime troškovi postupka uplati 0,</w:t>
      </w:r>
      <w:r w:rsidR="004F16BD">
        <w:rPr>
          <w:rFonts w:ascii="Tahoma" w:hAnsi="Tahoma" w:cs="Tahoma"/>
          <w:sz w:val="24"/>
          <w:szCs w:val="24"/>
          <w:lang w:val="sr-Latn-ME"/>
        </w:rPr>
        <w:t>4</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 xml:space="preserve">15/56425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u ukupnom iznosu od 476</w:t>
      </w:r>
      <w:proofErr w:type="gramStart"/>
      <w:r w:rsidRPr="007245AE">
        <w:rPr>
          <w:rFonts w:ascii="Tahoma" w:hAnsi="Tahoma" w:cs="Tahoma"/>
          <w:sz w:val="24"/>
          <w:szCs w:val="24"/>
        </w:rPr>
        <w:t>,00</w:t>
      </w:r>
      <w:proofErr w:type="gramEnd"/>
      <w:r w:rsidRPr="007245AE">
        <w:rPr>
          <w:rFonts w:ascii="Tahoma" w:hAnsi="Tahoma" w:cs="Tahoma"/>
          <w:sz w:val="24"/>
          <w:szCs w:val="24"/>
        </w:rPr>
        <w:t xml:space="preserve">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lastRenderedPageBreak/>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180D11">
        <w:rPr>
          <w:rFonts w:ascii="Tahoma" w:hAnsi="Tahoma" w:cs="Tahoma"/>
          <w:sz w:val="24"/>
          <w:szCs w:val="24"/>
        </w:rPr>
        <w:t>56425</w:t>
      </w:r>
      <w:r w:rsidR="004A6455">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180D11">
        <w:rPr>
          <w:rFonts w:ascii="Tahoma" w:hAnsi="Tahoma" w:cs="Tahoma"/>
          <w:sz w:val="24"/>
          <w:szCs w:val="24"/>
        </w:rPr>
        <w:t>56425</w:t>
      </w:r>
      <w:r w:rsidR="00D21C57" w:rsidRPr="006668ED">
        <w:rPr>
          <w:rFonts w:ascii="Tahoma" w:hAnsi="Tahoma" w:cs="Tahoma"/>
          <w:sz w:val="24"/>
          <w:szCs w:val="24"/>
        </w:rPr>
        <w:t xml:space="preserve"> od 24.10.2013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24.10.2013.godine 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w:t>
      </w:r>
      <w:r w:rsidR="00695E87" w:rsidRPr="0027230F">
        <w:rPr>
          <w:rFonts w:ascii="Tahoma" w:hAnsi="Tahoma" w:cs="Tahoma"/>
          <w:sz w:val="24"/>
          <w:szCs w:val="24"/>
        </w:rPr>
        <w:lastRenderedPageBreak/>
        <w:t>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 xml:space="preserve">zahtjev, kao ni razloge koji bi upućivali na pravilnu primjenu materijalnog prava, što nedvosmisleno ukazuje na povredu pravila postupka i na nezakonitost osporenog </w:t>
      </w:r>
      <w:r w:rsidR="00695E87" w:rsidRPr="0027230F">
        <w:rPr>
          <w:rFonts w:ascii="Tahoma" w:hAnsi="Tahoma" w:cs="Tahoma"/>
          <w:sz w:val="24"/>
          <w:szCs w:val="24"/>
        </w:rPr>
        <w:lastRenderedPageBreak/>
        <w:t>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ija broj: 08-5-257/2 od 26.05.2015.</w:t>
      </w:r>
      <w:r w:rsidR="0027230F" w:rsidRPr="0027230F">
        <w:rPr>
          <w:rFonts w:ascii="Tahoma" w:hAnsi="Tahoma" w:cs="Tahoma"/>
          <w:sz w:val="24"/>
          <w:szCs w:val="24"/>
        </w:rPr>
        <w:t>godine i naloži pristup traženim informacijama.</w:t>
      </w:r>
    </w:p>
    <w:p w:rsidR="00BC4807"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br.5522/15 od 23.09.2015.godine tražeći informaciju koja je predmet zahtjeva za slobodan pristup informacijama 13/56423  te je uz dopis Ministarstva finansija br.011-169/15 od 21.12.2015.godine dostavljen je i to: Program Savjeta za regulatornu reformu i unapređenje poslovnog ambijenta.</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2C4F30">
        <w:rPr>
          <w:rFonts w:ascii="Tahoma" w:hAnsi="Tahoma" w:cs="Tahoma"/>
          <w:sz w:val="24"/>
          <w:szCs w:val="24"/>
        </w:rPr>
        <w:t>011-169/15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w:t>
      </w:r>
      <w:r w:rsidR="002D4235" w:rsidRPr="00CC7375">
        <w:rPr>
          <w:rFonts w:ascii="Tahoma" w:hAnsi="Tahoma" w:cs="Tahoma"/>
          <w:sz w:val="24"/>
          <w:szCs w:val="24"/>
        </w:rPr>
        <w:lastRenderedPageBreak/>
        <w:t xml:space="preserve">strukturi, i ti podaci su sadržani u Zakonu o završnom računu Budžeta Crne Gore za 2012. </w:t>
      </w:r>
      <w:proofErr w:type="gramStart"/>
      <w:r w:rsidR="00CC7375" w:rsidRPr="00CC7375">
        <w:rPr>
          <w:rFonts w:ascii="Tahoma" w:hAnsi="Tahoma" w:cs="Tahoma"/>
          <w:sz w:val="24"/>
          <w:szCs w:val="24"/>
        </w:rPr>
        <w:t>g</w:t>
      </w:r>
      <w:r w:rsidR="002D4235" w:rsidRPr="00CC7375">
        <w:rPr>
          <w:rFonts w:ascii="Tahoma" w:hAnsi="Tahoma" w:cs="Tahoma"/>
          <w:sz w:val="24"/>
          <w:szCs w:val="24"/>
        </w:rPr>
        <w:t>odinu</w:t>
      </w:r>
      <w:proofErr w:type="gramEnd"/>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w:t>
      </w:r>
      <w:proofErr w:type="gramStart"/>
      <w:r w:rsidR="00CB3BB9">
        <w:rPr>
          <w:rFonts w:ascii="Tahoma" w:hAnsi="Tahoma" w:cs="Tahoma"/>
          <w:sz w:val="24"/>
          <w:szCs w:val="24"/>
        </w:rPr>
        <w:t>te</w:t>
      </w:r>
      <w:proofErr w:type="gramEnd"/>
      <w:r w:rsidR="00CB3BB9">
        <w:rPr>
          <w:rFonts w:ascii="Tahoma" w:hAnsi="Tahoma" w:cs="Tahoma"/>
          <w:sz w:val="24"/>
          <w:szCs w:val="24"/>
        </w:rPr>
        <w:t xml:space="preserv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proofErr w:type="gramStart"/>
      <w:r w:rsidR="007D3ECA">
        <w:rPr>
          <w:rFonts w:ascii="Tahoma" w:hAnsi="Tahoma" w:cs="Tahoma"/>
          <w:sz w:val="24"/>
          <w:szCs w:val="24"/>
        </w:rPr>
        <w:t>u  Program</w:t>
      </w:r>
      <w:proofErr w:type="gramEnd"/>
      <w:r w:rsidR="007D3ECA">
        <w:rPr>
          <w:rFonts w:ascii="Tahoma" w:hAnsi="Tahoma" w:cs="Tahoma"/>
          <w:sz w:val="24"/>
          <w:szCs w:val="24"/>
        </w:rPr>
        <w:t xml:space="preserve"> Savjeta za regulatornu reformu i unapređenje poslovnog ambijenta dostvaljenog uz akt br. 011-169/15 od 21.12.2015.godine  </w:t>
      </w:r>
      <w:r w:rsidRPr="00605441">
        <w:rPr>
          <w:rFonts w:ascii="Tahoma" w:hAnsi="Tahoma" w:cs="Tahoma"/>
          <w:sz w:val="24"/>
          <w:szCs w:val="24"/>
        </w:rPr>
        <w:t>Savjet Agencije nalazi da je žalba osnovana.</w:t>
      </w:r>
    </w:p>
    <w:p w:rsidR="004E347A" w:rsidRDefault="00E711DE" w:rsidP="00C17147">
      <w:pPr>
        <w:jc w:val="both"/>
        <w:rPr>
          <w:rFonts w:ascii="Tahoma" w:hAnsi="Tahoma" w:cs="Tahoma"/>
          <w:iCs/>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Pr>
          <w:rFonts w:ascii="Tahoma" w:hAnsi="Tahoma" w:cs="Tahoma"/>
          <w:bCs/>
          <w:color w:val="000000"/>
          <w:sz w:val="24"/>
          <w:szCs w:val="24"/>
        </w:rPr>
        <w:t xml:space="preserve">08-5-257/2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2D5295" w:rsidRPr="002D5295">
        <w:rPr>
          <w:rFonts w:ascii="Tahoma" w:hAnsi="Tahoma" w:cs="Tahoma"/>
          <w:color w:val="000000"/>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w:t>
      </w:r>
      <w:proofErr w:type="gramStart"/>
      <w:r w:rsidR="002D5295" w:rsidRPr="002D5295">
        <w:rPr>
          <w:rFonts w:ascii="Tahoma" w:hAnsi="Tahoma" w:cs="Tahoma"/>
          <w:color w:val="000000"/>
          <w:sz w:val="24"/>
          <w:szCs w:val="24"/>
        </w:rPr>
        <w:t>na</w:t>
      </w:r>
      <w:proofErr w:type="gramEnd"/>
      <w:r w:rsidR="002D5295" w:rsidRPr="002D5295">
        <w:rPr>
          <w:rFonts w:ascii="Tahoma" w:hAnsi="Tahoma" w:cs="Tahoma"/>
          <w:color w:val="000000"/>
          <w:sz w:val="24"/>
          <w:szCs w:val="24"/>
        </w:rPr>
        <w:t xml:space="preserve">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2D5295" w:rsidRPr="002D5295">
        <w:rPr>
          <w:rFonts w:ascii="Tahoma" w:hAnsi="Tahoma" w:cs="Tahoma"/>
          <w:color w:val="000000"/>
          <w:sz w:val="24"/>
          <w:szCs w:val="24"/>
        </w:rPr>
        <w:t>od</w:t>
      </w:r>
      <w:proofErr w:type="gramEnd"/>
      <w:r w:rsidR="002D5295" w:rsidRPr="002D5295">
        <w:rPr>
          <w:rFonts w:ascii="Tahoma" w:hAnsi="Tahoma" w:cs="Tahoma"/>
          <w:color w:val="000000"/>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w:t>
      </w:r>
      <w:r w:rsidR="002D5295" w:rsidRPr="002D5295">
        <w:rPr>
          <w:rFonts w:ascii="Tahoma" w:hAnsi="Tahoma" w:cs="Tahoma"/>
          <w:color w:val="000000"/>
          <w:sz w:val="24"/>
          <w:szCs w:val="24"/>
        </w:rPr>
        <w:lastRenderedPageBreak/>
        <w:t>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FC3322" w:rsidRPr="00FC3322">
        <w:t xml:space="preserve"> </w:t>
      </w:r>
      <w:r w:rsidR="00FC3322" w:rsidRPr="00FC3322">
        <w:rPr>
          <w:rFonts w:ascii="Tahoma" w:hAnsi="Tahoma" w:cs="Tahoma"/>
          <w:color w:val="000000"/>
          <w:sz w:val="24"/>
          <w:szCs w:val="24"/>
        </w:rPr>
        <w:t>Savjet Agencije nije našao da postoji i jedan od razlog</w:t>
      </w:r>
      <w:r w:rsidR="00DE7A33">
        <w:rPr>
          <w:rFonts w:ascii="Tahoma" w:hAnsi="Tahoma" w:cs="Tahoma"/>
          <w:color w:val="000000"/>
          <w:sz w:val="24"/>
          <w:szCs w:val="24"/>
        </w:rPr>
        <w:t>a</w:t>
      </w:r>
      <w:r w:rsidR="00FC3322" w:rsidRPr="00FC3322">
        <w:rPr>
          <w:rFonts w:ascii="Tahoma" w:hAnsi="Tahoma" w:cs="Tahoma"/>
          <w:color w:val="000000"/>
          <w:sz w:val="24"/>
          <w:szCs w:val="24"/>
        </w:rPr>
        <w:t xml:space="preserve"> iz prednje citiranog člana kojim su propisani uslovi za ograničenje pristupa informaciji ili njenom dijelu te ocjenio da se prvostepeni organ u osporenom rješenju nije pozvao na iste te da razlozi na koje se prvostepeni organ pozvao nijesu na zakonu zasnovani te iz tog razloga su pravno ne održivi.</w:t>
      </w:r>
      <w:r w:rsidR="00347B0B">
        <w:rPr>
          <w:rFonts w:ascii="Tahoma" w:hAnsi="Tahoma" w:cs="Tahoma"/>
          <w:color w:val="000000"/>
          <w:sz w:val="24"/>
          <w:szCs w:val="24"/>
        </w:rPr>
        <w:t xml:space="preserve"> </w:t>
      </w:r>
      <w:r w:rsidR="00FD1A8D">
        <w:rPr>
          <w:rFonts w:ascii="Tahoma" w:hAnsi="Tahoma" w:cs="Tahoma"/>
          <w:color w:val="000000"/>
          <w:sz w:val="24"/>
          <w:szCs w:val="24"/>
        </w:rPr>
        <w:t>Naime jasno je članom 14 stav 1 alin</w:t>
      </w:r>
      <w:r w:rsidR="00FB49B9">
        <w:rPr>
          <w:rFonts w:ascii="Tahoma" w:hAnsi="Tahoma" w:cs="Tahoma"/>
          <w:color w:val="000000"/>
          <w:sz w:val="24"/>
          <w:szCs w:val="24"/>
        </w:rPr>
        <w:t>eja</w:t>
      </w:r>
      <w:r w:rsidR="00FD1A8D">
        <w:rPr>
          <w:rFonts w:ascii="Tahoma" w:hAnsi="Tahoma" w:cs="Tahoma"/>
          <w:color w:val="000000"/>
          <w:sz w:val="24"/>
          <w:szCs w:val="24"/>
        </w:rPr>
        <w:t xml:space="preserve"> 2 Zakona o slobdnom pristupu informacijama </w:t>
      </w:r>
      <w:r w:rsidR="00AD5626">
        <w:rPr>
          <w:rFonts w:ascii="Tahoma" w:hAnsi="Tahoma" w:cs="Tahoma"/>
          <w:color w:val="000000"/>
          <w:sz w:val="24"/>
          <w:szCs w:val="24"/>
        </w:rPr>
        <w:t xml:space="preserve">propisano da </w:t>
      </w:r>
      <w:r w:rsidR="00AD5626" w:rsidRPr="00AD5626">
        <w:rPr>
          <w:rFonts w:ascii="Tahoma" w:hAnsi="Tahoma" w:cs="Tahoma"/>
          <w:color w:val="000000"/>
          <w:sz w:val="24"/>
          <w:szCs w:val="24"/>
        </w:rPr>
        <w:t>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16F33">
        <w:rPr>
          <w:rFonts w:ascii="Tahoma" w:hAnsi="Tahoma" w:cs="Tahoma"/>
          <w:color w:val="000000"/>
          <w:sz w:val="24"/>
          <w:szCs w:val="24"/>
        </w:rPr>
        <w:t xml:space="preserve"> </w:t>
      </w:r>
      <w:r w:rsidR="00347B0B">
        <w:rPr>
          <w:rFonts w:ascii="Tahoma" w:hAnsi="Tahoma" w:cs="Tahoma"/>
          <w:color w:val="000000"/>
          <w:sz w:val="24"/>
          <w:szCs w:val="24"/>
        </w:rPr>
        <w:t xml:space="preserve">Kako je predmet zahtjeva za slobodan pristup informacijama odnosi </w:t>
      </w:r>
      <w:proofErr w:type="gramStart"/>
      <w:r w:rsidR="00347B0B">
        <w:rPr>
          <w:rFonts w:ascii="Tahoma" w:hAnsi="Tahoma" w:cs="Tahoma"/>
          <w:color w:val="000000"/>
          <w:sz w:val="24"/>
          <w:szCs w:val="24"/>
        </w:rPr>
        <w:t>na</w:t>
      </w:r>
      <w:proofErr w:type="gramEnd"/>
      <w:r w:rsidR="00347B0B">
        <w:rPr>
          <w:rFonts w:ascii="Tahoma" w:hAnsi="Tahoma" w:cs="Tahoma"/>
          <w:color w:val="000000"/>
          <w:sz w:val="24"/>
          <w:szCs w:val="24"/>
        </w:rPr>
        <w:t xml:space="preserve"> informacije koje se odnose na</w:t>
      </w:r>
      <w:r w:rsidR="000B1BFF">
        <w:rPr>
          <w:rFonts w:ascii="Tahoma" w:hAnsi="Tahoma" w:cs="Tahoma"/>
          <w:color w:val="000000"/>
          <w:sz w:val="24"/>
          <w:szCs w:val="24"/>
        </w:rPr>
        <w:t xml:space="preserve"> trošenje sredstva opredeljenih</w:t>
      </w:r>
      <w:r w:rsidR="00347B0B">
        <w:rPr>
          <w:rFonts w:ascii="Tahoma" w:hAnsi="Tahoma" w:cs="Tahoma"/>
          <w:color w:val="000000"/>
          <w:sz w:val="24"/>
          <w:szCs w:val="24"/>
        </w:rPr>
        <w:t xml:space="preserve"> iz javnih prihoda tj budžeta Crne Gore za rad </w:t>
      </w:r>
      <w:r w:rsidR="00347B0B" w:rsidRPr="00347B0B">
        <w:rPr>
          <w:rFonts w:ascii="Tahoma" w:hAnsi="Tahoma" w:cs="Tahoma"/>
          <w:color w:val="000000"/>
          <w:sz w:val="24"/>
          <w:szCs w:val="24"/>
        </w:rPr>
        <w:t>Savjeta za regulatornu reformu i unapređenje poslovnog ambijenta</w:t>
      </w:r>
      <w:r w:rsidR="00347B0B">
        <w:rPr>
          <w:rFonts w:ascii="Tahoma" w:hAnsi="Tahoma" w:cs="Tahoma"/>
          <w:color w:val="000000"/>
          <w:sz w:val="24"/>
          <w:szCs w:val="24"/>
        </w:rPr>
        <w:t xml:space="preserve"> te da kroz praviln</w:t>
      </w:r>
      <w:r w:rsidR="000B1BFF">
        <w:rPr>
          <w:rFonts w:ascii="Tahoma" w:hAnsi="Tahoma" w:cs="Tahoma"/>
          <w:color w:val="000000"/>
          <w:sz w:val="24"/>
          <w:szCs w:val="24"/>
        </w:rPr>
        <w:t>u</w:t>
      </w:r>
      <w:r w:rsidR="00347B0B">
        <w:rPr>
          <w:rFonts w:ascii="Tahoma" w:hAnsi="Tahoma" w:cs="Tahoma"/>
          <w:color w:val="000000"/>
          <w:sz w:val="24"/>
          <w:szCs w:val="24"/>
        </w:rPr>
        <w:t xml:space="preserve"> primjenu člana 14 Zakona o slobodnom pristupu informacijama nema mjesta ograničenju pristupa traženoj informaciji.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Program Savjeta za regulatornu reformu i unapređenje poslovnog ambijenta</w:t>
      </w:r>
      <w:r w:rsidR="00F15049">
        <w:rPr>
          <w:rFonts w:ascii="Tahoma" w:hAnsi="Tahoma" w:cs="Tahoma"/>
          <w:sz w:val="24"/>
          <w:szCs w:val="24"/>
        </w:rPr>
        <w:t xml:space="preserve"> koju je prvostepeni organ dostavio aktom br.01</w:t>
      </w:r>
      <w:r>
        <w:rPr>
          <w:rFonts w:ascii="Tahoma" w:hAnsi="Tahoma" w:cs="Tahoma"/>
          <w:sz w:val="24"/>
          <w:szCs w:val="24"/>
        </w:rPr>
        <w:t>1-169/15 od 21.12.2015.godine i</w:t>
      </w:r>
      <w:r w:rsidR="003C56F4">
        <w:rPr>
          <w:rFonts w:ascii="Tahoma" w:hAnsi="Tahoma" w:cs="Tahoma"/>
          <w:sz w:val="24"/>
          <w:szCs w:val="24"/>
        </w:rPr>
        <w:t xml:space="preserve"> </w:t>
      </w:r>
      <w:r>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lastRenderedPageBreak/>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Agencije je </w:t>
      </w:r>
      <w:proofErr w:type="gramStart"/>
      <w:r w:rsidR="00B3060F">
        <w:rPr>
          <w:rFonts w:ascii="Tahoma" w:hAnsi="Tahoma" w:cs="Tahoma"/>
          <w:sz w:val="24"/>
          <w:szCs w:val="24"/>
        </w:rPr>
        <w:t>na</w:t>
      </w:r>
      <w:proofErr w:type="gramEnd"/>
      <w:r w:rsidR="00B3060F">
        <w:rPr>
          <w:rFonts w:ascii="Tahoma" w:hAnsi="Tahoma" w:cs="Tahoma"/>
          <w:sz w:val="24"/>
          <w:szCs w:val="24"/>
        </w:rPr>
        <w:t xml:space="preserve">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C17147"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w:t>
      </w:r>
      <w:proofErr w:type="gramStart"/>
      <w:r w:rsidR="006B15EC">
        <w:rPr>
          <w:rFonts w:ascii="Tahoma" w:hAnsi="Tahoma" w:cs="Tahoma"/>
          <w:sz w:val="24"/>
          <w:szCs w:val="24"/>
        </w:rPr>
        <w:t>na</w:t>
      </w:r>
      <w:proofErr w:type="gramEnd"/>
      <w:r w:rsidR="006B15EC">
        <w:rPr>
          <w:rFonts w:ascii="Tahoma" w:hAnsi="Tahoma" w:cs="Tahoma"/>
          <w:sz w:val="24"/>
          <w:szCs w:val="24"/>
        </w:rPr>
        <w:t xml:space="preserve">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180D11">
        <w:rPr>
          <w:rFonts w:ascii="Tahoma" w:hAnsi="Tahoma" w:cs="Tahoma"/>
          <w:sz w:val="24"/>
          <w:szCs w:val="24"/>
        </w:rPr>
        <w:t>56425</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17147" w:rsidRPr="00C1714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Savjet </w:t>
      </w:r>
      <w:r w:rsidR="00C17147" w:rsidRPr="00C17147">
        <w:rPr>
          <w:rFonts w:ascii="Tahoma" w:hAnsi="Tahoma" w:cs="Tahoma"/>
          <w:sz w:val="24"/>
          <w:szCs w:val="24"/>
          <w:lang w:val="sr-Latn-CS"/>
        </w:rPr>
        <w:t>za regulatornu reformu i unaprjeđenje poslovnog ambijenta</w:t>
      </w:r>
      <w:r w:rsidR="00C17147" w:rsidRPr="00C17147">
        <w:rPr>
          <w:rFonts w:ascii="Tahoma" w:hAnsi="Tahoma" w:cs="Tahoma"/>
          <w:sz w:val="24"/>
          <w:szCs w:val="24"/>
        </w:rPr>
        <w:t xml:space="preserve">; Program: Savjet </w:t>
      </w:r>
      <w:r w:rsidR="00C17147" w:rsidRPr="00C17147">
        <w:rPr>
          <w:rFonts w:ascii="Tahoma" w:hAnsi="Tahoma" w:cs="Tahoma"/>
          <w:sz w:val="24"/>
          <w:szCs w:val="24"/>
          <w:lang w:val="sr-Latn-CS"/>
        </w:rPr>
        <w:t>za regulatornu reformu i unaprjeđenje poslovnog ambijenta</w:t>
      </w:r>
      <w:r w:rsidR="00C17147" w:rsidRPr="00C17147">
        <w:rPr>
          <w:rFonts w:ascii="Tahoma" w:hAnsi="Tahoma" w:cs="Tahoma"/>
          <w:sz w:val="24"/>
          <w:szCs w:val="24"/>
        </w:rPr>
        <w:t>; Funkcionalna klasifikacija: 0112; Ekonomska klasifikacija: 4311; Opis: Transferi javnim institucijama</w:t>
      </w:r>
      <w:r w:rsidR="00B51283" w:rsidRPr="00B51283">
        <w:t xml:space="preserve"> </w:t>
      </w:r>
      <w:r w:rsidR="00B51283" w:rsidRPr="00B51283">
        <w:rPr>
          <w:rFonts w:ascii="Tahoma" w:hAnsi="Tahoma" w:cs="Tahoma"/>
          <w:sz w:val="24"/>
          <w:szCs w:val="24"/>
        </w:rPr>
        <w:t xml:space="preserve">u roku od pet dana od dana kada je podnosilac zahtjeva dostavio dokaz o uplati troškova postupka Ministarstvu finansija Crne Gore.  </w:t>
      </w:r>
      <w:r w:rsidR="00C17147" w:rsidRPr="00C17147">
        <w:rPr>
          <w:rFonts w:ascii="Tahoma" w:hAnsi="Tahoma" w:cs="Tahoma"/>
          <w:sz w:val="24"/>
          <w:szCs w:val="24"/>
        </w:rPr>
        <w:t xml:space="preserve"> </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E6387F">
        <w:rPr>
          <w:rFonts w:ascii="Tahoma" w:hAnsi="Tahoma" w:cs="Tahoma"/>
          <w:sz w:val="24"/>
          <w:szCs w:val="24"/>
        </w:rPr>
        <w:t>4</w:t>
      </w:r>
      <w:r>
        <w:rPr>
          <w:rFonts w:ascii="Tahoma" w:hAnsi="Tahoma" w:cs="Tahoma"/>
          <w:sz w:val="24"/>
          <w:szCs w:val="24"/>
        </w:rPr>
        <w:t xml:space="preserve"> stranice primjenom člana 33 stav 2 Zakona o slobodnom pristupu informacijama i člana 1 Uredbe o naknadi troškova u postupku za pristup informacijama (Sl.list Crne Gore br.02/07) određuje se naknada troškova postupka u ukupnom iznosu 0,</w:t>
      </w:r>
      <w:r w:rsidR="0006608A">
        <w:rPr>
          <w:rFonts w:ascii="Tahoma" w:hAnsi="Tahoma" w:cs="Tahoma"/>
          <w:sz w:val="24"/>
          <w:szCs w:val="24"/>
        </w:rPr>
        <w:t>4</w:t>
      </w:r>
      <w:r>
        <w:rPr>
          <w:rFonts w:ascii="Tahoma" w:hAnsi="Tahoma" w:cs="Tahoma"/>
          <w:sz w:val="24"/>
          <w:szCs w:val="24"/>
        </w:rPr>
        <w:t xml:space="preserve">0 EUR i to na ime kopiranja </w:t>
      </w:r>
      <w:r w:rsidR="0006608A">
        <w:rPr>
          <w:rFonts w:ascii="Tahoma" w:hAnsi="Tahoma" w:cs="Tahoma"/>
          <w:sz w:val="24"/>
          <w:szCs w:val="24"/>
        </w:rPr>
        <w:t>4</w:t>
      </w:r>
      <w:r>
        <w:rPr>
          <w:rFonts w:ascii="Tahoma" w:hAnsi="Tahoma" w:cs="Tahoma"/>
          <w:sz w:val="24"/>
          <w:szCs w:val="24"/>
        </w:rPr>
        <w:t xml:space="preserve">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lastRenderedPageBreak/>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15/56425</w:t>
      </w:r>
      <w:r w:rsidRPr="00AE4858">
        <w:rPr>
          <w:rFonts w:ascii="Tahoma" w:hAnsi="Tahoma" w:cs="Tahoma"/>
          <w:sz w:val="24"/>
          <w:szCs w:val="24"/>
        </w:rPr>
        <w:t xml:space="preserve"> </w:t>
      </w:r>
      <w:proofErr w:type="gramStart"/>
      <w:r w:rsidRPr="00AE4858">
        <w:rPr>
          <w:rFonts w:ascii="Tahoma" w:hAnsi="Tahoma" w:cs="Tahoma"/>
          <w:sz w:val="24"/>
          <w:szCs w:val="24"/>
        </w:rPr>
        <w:t>od</w:t>
      </w:r>
      <w:proofErr w:type="gramEnd"/>
      <w:r w:rsidRPr="00AE4858">
        <w:rPr>
          <w:rFonts w:ascii="Tahoma" w:hAnsi="Tahoma" w:cs="Tahoma"/>
          <w:sz w:val="24"/>
          <w:szCs w:val="24"/>
        </w:rPr>
        <w:t xml:space="preserve"> </w:t>
      </w:r>
      <w:r>
        <w:rPr>
          <w:rFonts w:ascii="Tahoma" w:hAnsi="Tahoma" w:cs="Tahoma"/>
          <w:sz w:val="24"/>
          <w:szCs w:val="24"/>
        </w:rPr>
        <w:t>17.06.2015</w:t>
      </w:r>
      <w:r w:rsidRPr="00AE4858">
        <w:rPr>
          <w:rFonts w:ascii="Tahoma" w:hAnsi="Tahoma" w:cs="Tahoma"/>
          <w:sz w:val="24"/>
          <w:szCs w:val="24"/>
        </w:rPr>
        <w:t xml:space="preserve">. </w:t>
      </w:r>
      <w:proofErr w:type="gramStart"/>
      <w:r w:rsidRPr="00AE4858">
        <w:rPr>
          <w:rFonts w:ascii="Tahoma" w:hAnsi="Tahoma" w:cs="Tahoma"/>
          <w:sz w:val="24"/>
          <w:szCs w:val="24"/>
        </w:rPr>
        <w:t>godine</w:t>
      </w:r>
      <w:proofErr w:type="gramEnd"/>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CB7AD5" w:rsidRDefault="00306A70" w:rsidP="00306A70">
      <w:pPr>
        <w:rPr>
          <w:sz w:val="20"/>
          <w:szCs w:val="20"/>
        </w:rPr>
      </w:pPr>
      <w:bookmarkStart w:id="0" w:name="_GoBack"/>
      <w:bookmarkEnd w:id="0"/>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14" w:rsidRDefault="00514A14" w:rsidP="004C7646">
      <w:pPr>
        <w:spacing w:after="0" w:line="240" w:lineRule="auto"/>
      </w:pPr>
      <w:r>
        <w:separator/>
      </w:r>
    </w:p>
  </w:endnote>
  <w:endnote w:type="continuationSeparator" w:id="0">
    <w:p w:rsidR="00514A14" w:rsidRDefault="00514A1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14A14"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4A14" w:rsidP="00EA2993">
    <w:pPr>
      <w:pStyle w:val="Footer"/>
      <w:rPr>
        <w:b/>
        <w:sz w:val="16"/>
        <w:szCs w:val="16"/>
      </w:rPr>
    </w:pPr>
  </w:p>
  <w:p w:rsidR="0090753B" w:rsidRPr="00E62A90" w:rsidRDefault="00514A14" w:rsidP="00E62A90">
    <w:pPr>
      <w:pStyle w:val="Footer"/>
      <w:shd w:val="clear" w:color="auto" w:fill="FF0000"/>
      <w:jc w:val="center"/>
      <w:rPr>
        <w:b/>
        <w:color w:val="FF0000"/>
        <w:sz w:val="2"/>
        <w:szCs w:val="2"/>
      </w:rPr>
    </w:pPr>
  </w:p>
  <w:p w:rsidR="0090753B" w:rsidRDefault="00514A14"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14A14" w:rsidP="00E03674">
    <w:pPr>
      <w:pStyle w:val="Footer"/>
      <w:jc w:val="center"/>
      <w:rPr>
        <w:sz w:val="16"/>
        <w:szCs w:val="16"/>
      </w:rPr>
    </w:pPr>
  </w:p>
  <w:p w:rsidR="0090753B" w:rsidRPr="002B6C39" w:rsidRDefault="00514A14">
    <w:pPr>
      <w:pStyle w:val="Footer"/>
    </w:pPr>
  </w:p>
  <w:p w:rsidR="0090753B" w:rsidRDefault="00514A14"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14" w:rsidRDefault="00514A14" w:rsidP="004C7646">
      <w:pPr>
        <w:spacing w:after="0" w:line="240" w:lineRule="auto"/>
      </w:pPr>
      <w:r>
        <w:separator/>
      </w:r>
    </w:p>
  </w:footnote>
  <w:footnote w:type="continuationSeparator" w:id="0">
    <w:p w:rsidR="00514A14" w:rsidRDefault="00514A1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4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4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4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1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4A14"/>
    <w:rsid w:val="005161B3"/>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586FF-4006-408A-B3AA-9BD5876D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297</cp:revision>
  <cp:lastPrinted>2015-07-09T09:00:00Z</cp:lastPrinted>
  <dcterms:created xsi:type="dcterms:W3CDTF">2015-06-17T10:45:00Z</dcterms:created>
  <dcterms:modified xsi:type="dcterms:W3CDTF">2016-11-12T18:25:00Z</dcterms:modified>
</cp:coreProperties>
</file>