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CD6B6E">
        <w:rPr>
          <w:rFonts w:ascii="Tahoma" w:hAnsi="Tahoma" w:cs="Tahoma"/>
          <w:b/>
          <w:sz w:val="24"/>
          <w:szCs w:val="24"/>
        </w:rPr>
        <w:t>79</w:t>
      </w:r>
      <w:r w:rsidR="004651C5">
        <w:rPr>
          <w:rFonts w:ascii="Tahoma" w:hAnsi="Tahoma" w:cs="Tahoma"/>
          <w:b/>
          <w:sz w:val="24"/>
          <w:szCs w:val="24"/>
        </w:rPr>
        <w:t>3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00E6D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651C5">
        <w:rPr>
          <w:rFonts w:ascii="Tahoma" w:hAnsi="Tahoma" w:cs="Tahoma"/>
          <w:sz w:val="24"/>
          <w:szCs w:val="24"/>
          <w:lang w:val="sr-Latn-CS"/>
        </w:rPr>
        <w:t>85849-85853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6B6E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651C5">
        <w:rPr>
          <w:rFonts w:ascii="Tahoma" w:hAnsi="Tahoma" w:cs="Tahoma"/>
          <w:sz w:val="24"/>
          <w:szCs w:val="24"/>
          <w:lang w:val="sr-Latn-CS"/>
        </w:rPr>
        <w:t>85849-85853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CD6B6E">
        <w:rPr>
          <w:rFonts w:ascii="Tahoma" w:hAnsi="Tahoma" w:cs="Tahoma"/>
          <w:sz w:val="24"/>
          <w:szCs w:val="24"/>
          <w:lang w:val="sr-Latn-CS"/>
        </w:rPr>
        <w:t>4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E9F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E12E9F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podataka za </w:t>
      </w:r>
      <w:r w:rsidR="004651C5">
        <w:rPr>
          <w:rFonts w:ascii="Tahoma" w:hAnsi="Tahoma" w:cs="Tahoma"/>
          <w:sz w:val="24"/>
          <w:szCs w:val="24"/>
          <w:lang w:val="sr-Latn-CS"/>
        </w:rPr>
        <w:t>2015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.godinu, koje je AD Rudnik uglja Pljevlja dostavio Ministarstvu ekonomije o izvršenim radovima na rekultivaciji sa </w:t>
      </w:r>
      <w:r w:rsidR="00BE4166">
        <w:rPr>
          <w:rFonts w:ascii="Tahoma" w:hAnsi="Tahoma" w:cs="Tahoma"/>
          <w:sz w:val="24"/>
          <w:szCs w:val="24"/>
          <w:lang w:val="sr-Latn-CS"/>
        </w:rPr>
        <w:t>predmjerom i predračunom radova,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izvjštaja o godišnjem iznosu sredstava za rekultivaciju koje je Ministarstvo ekonomije donijelo za AD Rudnik uglja Pljevlja, a koji se odnose na </w:t>
      </w:r>
      <w:r w:rsidR="004651C5">
        <w:rPr>
          <w:rFonts w:ascii="Tahoma" w:hAnsi="Tahoma" w:cs="Tahoma"/>
          <w:sz w:val="24"/>
          <w:szCs w:val="24"/>
          <w:lang w:val="sr-Latn-CS"/>
        </w:rPr>
        <w:t>2015</w:t>
      </w:r>
      <w:r w:rsidR="00BE4166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rješenja o godišnjem iznosu sredstava za rekultivaciju koje je Ministarstvo ekonomije donijelo za AD Rudnik uglja Pljevlja, a koji se odnose na </w:t>
      </w:r>
      <w:r w:rsidR="004651C5">
        <w:rPr>
          <w:rFonts w:ascii="Tahoma" w:hAnsi="Tahoma" w:cs="Tahoma"/>
          <w:sz w:val="24"/>
          <w:szCs w:val="24"/>
          <w:lang w:val="sr-Latn-CS"/>
        </w:rPr>
        <w:t>2015</w:t>
      </w:r>
      <w:r w:rsidR="00BE4166">
        <w:rPr>
          <w:rFonts w:ascii="Tahoma" w:hAnsi="Tahoma" w:cs="Tahoma"/>
          <w:sz w:val="24"/>
          <w:szCs w:val="24"/>
          <w:lang w:val="sr-Latn-CS"/>
        </w:rPr>
        <w:t>. godinu,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 izvještaja o izvršenom stručnom nadzoru nad radovima na rekultivaciji koje je Ministarstvo ekonomije (stručna komisija) donijela u odnosu na AD Rudnik uglja Pljevlja, a koji se odnose na </w:t>
      </w:r>
      <w:r w:rsidR="004651C5">
        <w:rPr>
          <w:rFonts w:ascii="Tahoma" w:hAnsi="Tahoma" w:cs="Tahoma"/>
          <w:sz w:val="24"/>
          <w:szCs w:val="24"/>
          <w:lang w:val="sr-Latn-CS"/>
        </w:rPr>
        <w:t>2015</w:t>
      </w:r>
      <w:r w:rsidR="00900E6D">
        <w:rPr>
          <w:rFonts w:ascii="Tahoma" w:hAnsi="Tahoma" w:cs="Tahoma"/>
          <w:sz w:val="24"/>
          <w:szCs w:val="24"/>
          <w:lang w:val="sr-Latn-CS"/>
        </w:rPr>
        <w:t xml:space="preserve">.godinu i bankarskih garancijea koje je Rudnik uglja AD Pljevlja dostavio Ministarstvu ekonomije u vezi obaveze rekultivacije, a koji se odnose na </w:t>
      </w:r>
      <w:r w:rsidR="004651C5">
        <w:rPr>
          <w:rFonts w:ascii="Tahoma" w:hAnsi="Tahoma" w:cs="Tahoma"/>
          <w:sz w:val="24"/>
          <w:szCs w:val="24"/>
          <w:lang w:val="sr-Latn-CS"/>
        </w:rPr>
        <w:lastRenderedPageBreak/>
        <w:t>2015</w:t>
      </w:r>
      <w:r w:rsidR="00900E6D">
        <w:rPr>
          <w:rFonts w:ascii="Tahoma" w:hAnsi="Tahoma" w:cs="Tahoma"/>
          <w:sz w:val="24"/>
          <w:szCs w:val="24"/>
          <w:lang w:val="sr-Latn-CS"/>
        </w:rPr>
        <w:t>.godinu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E4166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CD6B6E">
        <w:rPr>
          <w:rFonts w:ascii="Tahoma" w:hAnsi="Tahoma" w:cs="Tahoma"/>
          <w:sz w:val="24"/>
          <w:szCs w:val="24"/>
          <w:lang w:val="sr-Latn-CS"/>
        </w:rPr>
        <w:t>32</w:t>
      </w:r>
      <w:r w:rsidR="00900E6D">
        <w:rPr>
          <w:rFonts w:ascii="Tahoma" w:hAnsi="Tahoma" w:cs="Tahoma"/>
          <w:sz w:val="24"/>
          <w:szCs w:val="24"/>
          <w:lang w:val="sr-Latn-CS"/>
        </w:rPr>
        <w:t>1</w:t>
      </w:r>
      <w:r w:rsidR="004651C5">
        <w:rPr>
          <w:rFonts w:ascii="Tahoma" w:hAnsi="Tahoma" w:cs="Tahoma"/>
          <w:sz w:val="24"/>
          <w:szCs w:val="24"/>
          <w:lang w:val="sr-Latn-CS"/>
        </w:rPr>
        <w:t>1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6B6E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4651C5">
        <w:rPr>
          <w:rFonts w:ascii="Tahoma" w:hAnsi="Tahoma" w:cs="Tahoma"/>
          <w:sz w:val="24"/>
          <w:szCs w:val="24"/>
          <w:lang w:val="sr-Latn-CS"/>
        </w:rPr>
        <w:t>85849-85853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6B6E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CD6B6E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A0084" w:rsidRDefault="00FA008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0084" w:rsidRDefault="00FA008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0084" w:rsidRDefault="00FA008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A0084" w:rsidRDefault="00FA0084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00E6D" w:rsidRDefault="00900E6D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900E6D" w:rsidRDefault="009845A6" w:rsidP="001B56D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00E6D" w:rsidRDefault="00900E6D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00E6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774" w:rsidRDefault="00F22774" w:rsidP="00CB7F9A">
      <w:pPr>
        <w:spacing w:after="0" w:line="240" w:lineRule="auto"/>
      </w:pPr>
      <w:r>
        <w:separator/>
      </w:r>
    </w:p>
  </w:endnote>
  <w:endnote w:type="continuationSeparator" w:id="0">
    <w:p w:rsidR="00F22774" w:rsidRDefault="00F2277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774" w:rsidRDefault="00F22774" w:rsidP="00CB7F9A">
      <w:pPr>
        <w:spacing w:after="0" w:line="240" w:lineRule="auto"/>
      </w:pPr>
      <w:r>
        <w:separator/>
      </w:r>
    </w:p>
  </w:footnote>
  <w:footnote w:type="continuationSeparator" w:id="0">
    <w:p w:rsidR="00F22774" w:rsidRDefault="00F2277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4A9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56D7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51C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49C0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0E37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0E6D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2F41"/>
    <w:rsid w:val="00BE4166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EB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E9F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7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084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58A5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7064-781B-487B-8023-896EA4F4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2016-06-21T09:09:00Z</cp:lastPrinted>
  <dcterms:created xsi:type="dcterms:W3CDTF">2015-12-16T13:08:00Z</dcterms:created>
  <dcterms:modified xsi:type="dcterms:W3CDTF">2016-11-12T17:07:00Z</dcterms:modified>
</cp:coreProperties>
</file>