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795567" w:rsidRDefault="00C27303" w:rsidP="00795567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795567" w:rsidRDefault="00795567" w:rsidP="00795567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Pr="00795567" w:rsidRDefault="00C27303" w:rsidP="00795567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414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 xml:space="preserve">UPII </w:t>
      </w:r>
      <w:r w:rsidR="00344437">
        <w:rPr>
          <w:rFonts w:ascii="Tahoma" w:hAnsi="Tahoma" w:cs="Tahoma"/>
          <w:b/>
          <w:sz w:val="20"/>
          <w:szCs w:val="20"/>
        </w:rPr>
        <w:t>710</w:t>
      </w:r>
      <w:r w:rsidR="00AC299A">
        <w:rPr>
          <w:rFonts w:ascii="Tahoma" w:hAnsi="Tahoma" w:cs="Tahoma"/>
          <w:b/>
          <w:sz w:val="20"/>
          <w:szCs w:val="20"/>
        </w:rPr>
        <w:t>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3C1022">
        <w:rPr>
          <w:rFonts w:ascii="Tahoma" w:hAnsi="Tahoma" w:cs="Tahoma"/>
          <w:sz w:val="20"/>
          <w:szCs w:val="20"/>
        </w:rPr>
        <w:t>90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8A70DA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8A70DA">
        <w:rPr>
          <w:rFonts w:ascii="Tahoma" w:hAnsi="Tahoma" w:cs="Tahoma"/>
          <w:sz w:val="20"/>
          <w:szCs w:val="20"/>
        </w:rPr>
        <w:t xml:space="preserve"> </w:t>
      </w:r>
      <w:r w:rsidR="003C1022">
        <w:rPr>
          <w:rFonts w:ascii="Tahoma" w:hAnsi="Tahoma" w:cs="Tahoma"/>
          <w:sz w:val="20"/>
          <w:szCs w:val="20"/>
        </w:rPr>
        <w:t>710</w:t>
      </w:r>
      <w:r w:rsidR="006105A1">
        <w:rPr>
          <w:rFonts w:ascii="Tahoma" w:hAnsi="Tahoma" w:cs="Tahoma"/>
          <w:sz w:val="20"/>
          <w:szCs w:val="20"/>
        </w:rPr>
        <w:t>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D3376B">
        <w:rPr>
          <w:rFonts w:ascii="Tahoma" w:hAnsi="Tahoma" w:cs="Tahoma"/>
          <w:sz w:val="20"/>
          <w:szCs w:val="20"/>
        </w:rPr>
        <w:t>05</w:t>
      </w:r>
      <w:r w:rsidR="000A0976">
        <w:rPr>
          <w:rFonts w:ascii="Tahoma" w:hAnsi="Tahoma" w:cs="Tahoma"/>
          <w:sz w:val="20"/>
          <w:szCs w:val="20"/>
        </w:rPr>
        <w:t>.</w:t>
      </w:r>
      <w:r w:rsidR="00D3376B">
        <w:rPr>
          <w:rFonts w:ascii="Tahoma" w:hAnsi="Tahoma" w:cs="Tahoma"/>
          <w:sz w:val="20"/>
          <w:szCs w:val="20"/>
        </w:rPr>
        <w:t>10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609F8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1D03E6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9018E5" w:rsidRPr="009018E5">
        <w:rPr>
          <w:rFonts w:ascii="Tahoma" w:hAnsi="Tahoma" w:cs="Tahoma"/>
          <w:sz w:val="20"/>
          <w:szCs w:val="20"/>
        </w:rPr>
        <w:t xml:space="preserve">br. 7890/15 </w:t>
      </w:r>
      <w:proofErr w:type="spellStart"/>
      <w:proofErr w:type="gramStart"/>
      <w:r w:rsidR="009018E5" w:rsidRPr="009018E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018E5" w:rsidRPr="009018E5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9018E5" w:rsidRPr="009018E5">
        <w:rPr>
          <w:rFonts w:ascii="Tahoma" w:hAnsi="Tahoma" w:cs="Tahoma"/>
          <w:sz w:val="20"/>
          <w:szCs w:val="20"/>
        </w:rPr>
        <w:t xml:space="preserve">UPII 710/15-1 </w:t>
      </w:r>
      <w:proofErr w:type="spellStart"/>
      <w:r w:rsidR="009018E5" w:rsidRPr="009018E5">
        <w:rPr>
          <w:rFonts w:ascii="Tahoma" w:hAnsi="Tahoma" w:cs="Tahoma"/>
          <w:sz w:val="20"/>
          <w:szCs w:val="20"/>
        </w:rPr>
        <w:t>od</w:t>
      </w:r>
      <w:proofErr w:type="spellEnd"/>
      <w:r w:rsidR="009018E5" w:rsidRPr="009018E5">
        <w:rPr>
          <w:rFonts w:ascii="Tahoma" w:hAnsi="Tahoma" w:cs="Tahoma"/>
          <w:sz w:val="20"/>
          <w:szCs w:val="20"/>
        </w:rPr>
        <w:t xml:space="preserve"> 05.10.2015.godine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165F21" w:rsidRPr="00165F21">
        <w:rPr>
          <w:rFonts w:ascii="Tahoma" w:hAnsi="Tahoma" w:cs="Tahoma"/>
          <w:sz w:val="20"/>
          <w:szCs w:val="20"/>
        </w:rPr>
        <w:t xml:space="preserve">br. 7890/15 </w:t>
      </w:r>
      <w:proofErr w:type="spellStart"/>
      <w:proofErr w:type="gramStart"/>
      <w:r w:rsidR="00165F21" w:rsidRPr="00165F2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65F21" w:rsidRPr="00165F21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4B72CD" w:rsidRPr="004B72CD">
        <w:rPr>
          <w:rFonts w:ascii="Tahoma" w:hAnsi="Tahoma" w:cs="Tahoma"/>
          <w:sz w:val="20"/>
          <w:szCs w:val="20"/>
        </w:rPr>
        <w:t xml:space="preserve">UPII 710/15-1 </w:t>
      </w:r>
      <w:proofErr w:type="spellStart"/>
      <w:r w:rsidR="004B72CD" w:rsidRPr="004B72CD">
        <w:rPr>
          <w:rFonts w:ascii="Tahoma" w:hAnsi="Tahoma" w:cs="Tahoma"/>
          <w:sz w:val="20"/>
          <w:szCs w:val="20"/>
        </w:rPr>
        <w:t>od</w:t>
      </w:r>
      <w:proofErr w:type="spellEnd"/>
      <w:r w:rsidR="004B72CD" w:rsidRPr="004B72CD">
        <w:rPr>
          <w:rFonts w:ascii="Tahoma" w:hAnsi="Tahoma" w:cs="Tahoma"/>
          <w:sz w:val="20"/>
          <w:szCs w:val="20"/>
        </w:rPr>
        <w:t xml:space="preserve"> 05.10.2015.godine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4B72CD" w:rsidRPr="004B72CD">
        <w:rPr>
          <w:rFonts w:ascii="Tahoma" w:hAnsi="Tahoma" w:cs="Tahoma"/>
          <w:sz w:val="20"/>
          <w:szCs w:val="20"/>
        </w:rPr>
        <w:t xml:space="preserve">UPII 710/15-1 </w:t>
      </w:r>
      <w:proofErr w:type="spellStart"/>
      <w:r w:rsidR="004B72CD" w:rsidRPr="004B72CD">
        <w:rPr>
          <w:rFonts w:ascii="Tahoma" w:hAnsi="Tahoma" w:cs="Tahoma"/>
          <w:sz w:val="20"/>
          <w:szCs w:val="20"/>
        </w:rPr>
        <w:t>od</w:t>
      </w:r>
      <w:proofErr w:type="spellEnd"/>
      <w:r w:rsidR="004B72CD" w:rsidRPr="004B72CD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F63F6A">
        <w:rPr>
          <w:rFonts w:ascii="Tahoma" w:hAnsi="Tahoma" w:cs="Tahoma"/>
          <w:sz w:val="20"/>
          <w:szCs w:val="20"/>
        </w:rPr>
        <w:t>1020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E55247">
        <w:rPr>
          <w:rFonts w:ascii="Tahoma" w:hAnsi="Tahoma" w:cs="Tahoma"/>
          <w:sz w:val="20"/>
          <w:szCs w:val="20"/>
        </w:rPr>
        <w:t>j</w:t>
      </w:r>
      <w:proofErr w:type="spellEnd"/>
      <w:r w:rsidR="00E55247">
        <w:rPr>
          <w:rFonts w:ascii="Tahoma" w:hAnsi="Tahoma" w:cs="Tahoma"/>
          <w:sz w:val="20"/>
          <w:szCs w:val="20"/>
        </w:rPr>
        <w:t xml:space="preserve"> </w:t>
      </w:r>
      <w:r w:rsidR="00F63F6A">
        <w:rPr>
          <w:rFonts w:ascii="Tahoma" w:hAnsi="Tahoma" w:cs="Tahoma"/>
          <w:sz w:val="20"/>
          <w:szCs w:val="20"/>
        </w:rPr>
        <w:t>916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F63F6A">
        <w:rPr>
          <w:rFonts w:ascii="Tahoma" w:hAnsi="Tahoma" w:cs="Tahoma"/>
          <w:sz w:val="20"/>
          <w:szCs w:val="20"/>
        </w:rPr>
        <w:t>10</w:t>
      </w:r>
      <w:r w:rsidR="00E6170E">
        <w:rPr>
          <w:rFonts w:ascii="Tahoma" w:hAnsi="Tahoma" w:cs="Tahoma"/>
          <w:sz w:val="20"/>
          <w:szCs w:val="20"/>
        </w:rPr>
        <w:t>.</w:t>
      </w:r>
      <w:r w:rsidR="00986FB4">
        <w:rPr>
          <w:rFonts w:ascii="Tahoma" w:hAnsi="Tahoma" w:cs="Tahoma"/>
          <w:sz w:val="20"/>
          <w:szCs w:val="20"/>
        </w:rPr>
        <w:t>0</w:t>
      </w:r>
      <w:r w:rsidR="00F63F6A">
        <w:rPr>
          <w:rFonts w:ascii="Tahoma" w:hAnsi="Tahoma" w:cs="Tahoma"/>
          <w:sz w:val="20"/>
          <w:szCs w:val="20"/>
        </w:rPr>
        <w:t>8</w:t>
      </w:r>
      <w:r w:rsidR="00E6170E">
        <w:rPr>
          <w:rFonts w:ascii="Tahoma" w:hAnsi="Tahoma" w:cs="Tahoma"/>
          <w:sz w:val="20"/>
          <w:szCs w:val="20"/>
        </w:rPr>
        <w:t>.201</w:t>
      </w:r>
      <w:r w:rsidR="00986FB4">
        <w:rPr>
          <w:rFonts w:ascii="Tahoma" w:hAnsi="Tahoma" w:cs="Tahoma"/>
          <w:sz w:val="20"/>
          <w:szCs w:val="20"/>
        </w:rPr>
        <w:t>5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F63F6A">
        <w:rPr>
          <w:rFonts w:ascii="Tahoma" w:hAnsi="Tahoma" w:cs="Tahoma"/>
          <w:sz w:val="20"/>
          <w:szCs w:val="20"/>
        </w:rPr>
        <w:t>29,80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4B72CD" w:rsidRPr="004B72CD">
        <w:rPr>
          <w:rFonts w:ascii="Tahoma" w:hAnsi="Tahoma" w:cs="Tahoma"/>
          <w:sz w:val="20"/>
          <w:szCs w:val="20"/>
        </w:rPr>
        <w:t xml:space="preserve">UPII 710/15-1 </w:t>
      </w:r>
      <w:proofErr w:type="spellStart"/>
      <w:r w:rsidR="004B72CD" w:rsidRPr="004B72CD">
        <w:rPr>
          <w:rFonts w:ascii="Tahoma" w:hAnsi="Tahoma" w:cs="Tahoma"/>
          <w:sz w:val="20"/>
          <w:szCs w:val="20"/>
        </w:rPr>
        <w:t>od</w:t>
      </w:r>
      <w:proofErr w:type="spellEnd"/>
      <w:r w:rsidR="004B72CD" w:rsidRPr="004B72CD">
        <w:rPr>
          <w:rFonts w:ascii="Tahoma" w:hAnsi="Tahoma" w:cs="Tahoma"/>
          <w:sz w:val="20"/>
          <w:szCs w:val="20"/>
        </w:rPr>
        <w:t xml:space="preserve"> 05.10.2015.godine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B46A24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8D100A">
        <w:rPr>
          <w:rFonts w:ascii="Tahoma" w:hAnsi="Tahoma" w:cs="Tahoma"/>
          <w:sz w:val="20"/>
          <w:szCs w:val="20"/>
        </w:rPr>
        <w:t>br. 1020</w:t>
      </w:r>
      <w:r w:rsidR="002320D3" w:rsidRPr="002320D3">
        <w:rPr>
          <w:rFonts w:ascii="Tahoma" w:hAnsi="Tahoma" w:cs="Tahoma"/>
          <w:sz w:val="20"/>
          <w:szCs w:val="20"/>
        </w:rPr>
        <w:t xml:space="preserve">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34535B">
        <w:rPr>
          <w:rFonts w:ascii="Tahoma" w:hAnsi="Tahoma" w:cs="Tahoma"/>
          <w:sz w:val="20"/>
          <w:szCs w:val="20"/>
        </w:rPr>
        <w:t>1</w:t>
      </w:r>
      <w:r w:rsidR="008D100A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34535B">
        <w:rPr>
          <w:rFonts w:ascii="Tahoma" w:hAnsi="Tahoma" w:cs="Tahoma"/>
          <w:sz w:val="20"/>
          <w:szCs w:val="20"/>
        </w:rPr>
        <w:t>0</w:t>
      </w:r>
      <w:r w:rsidR="008D100A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12596A">
        <w:rPr>
          <w:rFonts w:ascii="Tahoma" w:hAnsi="Tahoma" w:cs="Tahoma"/>
          <w:sz w:val="20"/>
          <w:szCs w:val="20"/>
        </w:rPr>
        <w:t>916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12596A">
        <w:rPr>
          <w:rFonts w:ascii="Tahoma" w:hAnsi="Tahoma" w:cs="Tahoma"/>
          <w:sz w:val="20"/>
          <w:szCs w:val="20"/>
        </w:rPr>
        <w:t>10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C7B8D">
        <w:rPr>
          <w:rFonts w:ascii="Tahoma" w:hAnsi="Tahoma" w:cs="Tahoma"/>
          <w:sz w:val="20"/>
          <w:szCs w:val="20"/>
        </w:rPr>
        <w:t>0</w:t>
      </w:r>
      <w:r w:rsidR="0012596A">
        <w:rPr>
          <w:rFonts w:ascii="Tahoma" w:hAnsi="Tahoma" w:cs="Tahoma"/>
          <w:sz w:val="20"/>
          <w:szCs w:val="20"/>
        </w:rPr>
        <w:t>8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C7B8D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53116">
        <w:rPr>
          <w:rFonts w:ascii="Tahoma" w:hAnsi="Tahoma" w:cs="Tahoma"/>
          <w:sz w:val="20"/>
          <w:szCs w:val="20"/>
        </w:rPr>
        <w:t>26</w:t>
      </w:r>
      <w:r w:rsidR="00057907">
        <w:rPr>
          <w:rFonts w:ascii="Tahoma" w:hAnsi="Tahoma" w:cs="Tahoma"/>
          <w:sz w:val="20"/>
          <w:szCs w:val="20"/>
        </w:rPr>
        <w:t>.</w:t>
      </w:r>
      <w:r w:rsidR="00553116">
        <w:rPr>
          <w:rFonts w:ascii="Tahoma" w:hAnsi="Tahoma" w:cs="Tahoma"/>
          <w:sz w:val="20"/>
          <w:szCs w:val="20"/>
        </w:rPr>
        <w:t>08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4B72CD" w:rsidRPr="004B72CD">
        <w:rPr>
          <w:rFonts w:ascii="Tahoma" w:hAnsi="Tahoma" w:cs="Tahoma"/>
          <w:sz w:val="20"/>
          <w:szCs w:val="20"/>
        </w:rPr>
        <w:t>UPI</w:t>
      </w:r>
      <w:r w:rsidR="00F63BF1">
        <w:rPr>
          <w:rFonts w:ascii="Tahoma" w:hAnsi="Tahoma" w:cs="Tahoma"/>
          <w:sz w:val="20"/>
          <w:szCs w:val="20"/>
        </w:rPr>
        <w:t xml:space="preserve">I 710/15-1 </w:t>
      </w:r>
      <w:proofErr w:type="spellStart"/>
      <w:r w:rsidR="00F63BF1">
        <w:rPr>
          <w:rFonts w:ascii="Tahoma" w:hAnsi="Tahoma" w:cs="Tahoma"/>
          <w:sz w:val="20"/>
          <w:szCs w:val="20"/>
        </w:rPr>
        <w:t>od</w:t>
      </w:r>
      <w:proofErr w:type="spellEnd"/>
      <w:r w:rsidR="00F63BF1">
        <w:rPr>
          <w:rFonts w:ascii="Tahoma" w:hAnsi="Tahoma" w:cs="Tahoma"/>
          <w:sz w:val="20"/>
          <w:szCs w:val="20"/>
        </w:rPr>
        <w:t xml:space="preserve"> 05.10.2015.godine</w:t>
      </w:r>
      <w:r w:rsidR="00062A8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</w:t>
      </w:r>
      <w:r w:rsidR="00062A80">
        <w:rPr>
          <w:rFonts w:ascii="Tahoma" w:hAnsi="Tahoma" w:cs="Tahoma"/>
          <w:sz w:val="20"/>
          <w:szCs w:val="20"/>
        </w:rPr>
        <w:t>oga</w:t>
      </w:r>
      <w:proofErr w:type="spellEnd"/>
      <w:r w:rsidR="00062A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2A80">
        <w:rPr>
          <w:rFonts w:ascii="Tahoma" w:hAnsi="Tahoma" w:cs="Tahoma"/>
          <w:sz w:val="20"/>
          <w:szCs w:val="20"/>
        </w:rPr>
        <w:t>za</w:t>
      </w:r>
      <w:proofErr w:type="spellEnd"/>
      <w:r w:rsidR="00062A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2A80">
        <w:rPr>
          <w:rFonts w:ascii="Tahoma" w:hAnsi="Tahoma" w:cs="Tahoma"/>
          <w:sz w:val="20"/>
          <w:szCs w:val="20"/>
        </w:rPr>
        <w:t>ponavljanje</w:t>
      </w:r>
      <w:proofErr w:type="spellEnd"/>
      <w:r w:rsidR="00062A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2A80">
        <w:rPr>
          <w:rFonts w:ascii="Tahoma" w:hAnsi="Tahoma" w:cs="Tahoma"/>
          <w:sz w:val="20"/>
          <w:szCs w:val="20"/>
        </w:rPr>
        <w:t>postupka</w:t>
      </w:r>
      <w:proofErr w:type="spellEnd"/>
      <w:r w:rsidR="00062A80">
        <w:rPr>
          <w:rFonts w:ascii="Tahoma" w:hAnsi="Tahoma" w:cs="Tahoma"/>
          <w:sz w:val="20"/>
          <w:szCs w:val="20"/>
        </w:rPr>
        <w:t xml:space="preserve"> je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062A80">
        <w:rPr>
          <w:rFonts w:ascii="Tahoma" w:hAnsi="Tahoma" w:cs="Tahoma"/>
          <w:sz w:val="20"/>
          <w:szCs w:val="20"/>
        </w:rPr>
        <w:t xml:space="preserve"> U .br. 2778/2015.godine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lastRenderedPageBreak/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organa.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organa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564EB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.</w:t>
      </w:r>
      <w:r w:rsidR="003C574B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020DA5" w:rsidRPr="00020DA5">
        <w:rPr>
          <w:rFonts w:ascii="Tahoma" w:hAnsi="Tahoma" w:cs="Tahoma"/>
          <w:sz w:val="20"/>
          <w:szCs w:val="20"/>
        </w:rPr>
        <w:t xml:space="preserve">UPII 710/15-1 </w:t>
      </w:r>
      <w:proofErr w:type="spellStart"/>
      <w:r w:rsidR="00020DA5" w:rsidRPr="00020DA5">
        <w:rPr>
          <w:rFonts w:ascii="Tahoma" w:hAnsi="Tahoma" w:cs="Tahoma"/>
          <w:sz w:val="20"/>
          <w:szCs w:val="20"/>
        </w:rPr>
        <w:t>od</w:t>
      </w:r>
      <w:proofErr w:type="spellEnd"/>
      <w:r w:rsidR="00020DA5" w:rsidRPr="00020DA5">
        <w:rPr>
          <w:rFonts w:ascii="Tahoma" w:hAnsi="Tahoma" w:cs="Tahoma"/>
          <w:sz w:val="20"/>
          <w:szCs w:val="20"/>
        </w:rPr>
        <w:t xml:space="preserve"> 05.10.2015.godine</w:t>
      </w:r>
      <w:r w:rsidR="0017499E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1B0C65" w:rsidRDefault="001B0C65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1B0C65" w:rsidRDefault="001B0C65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1B0C65" w:rsidRDefault="001B0C65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1B0C65" w:rsidRDefault="001B0C65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1B0C65" w:rsidRDefault="001B0C65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A8" w:rsidRDefault="005039A8">
      <w:pPr>
        <w:spacing w:after="0" w:line="240" w:lineRule="auto"/>
      </w:pPr>
      <w:r>
        <w:separator/>
      </w:r>
    </w:p>
  </w:endnote>
  <w:endnote w:type="continuationSeparator" w:id="0">
    <w:p w:rsidR="005039A8" w:rsidRDefault="0050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039A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9A8" w:rsidP="00EA2993">
    <w:pPr>
      <w:pStyle w:val="Footer"/>
      <w:rPr>
        <w:b/>
        <w:sz w:val="16"/>
        <w:szCs w:val="16"/>
      </w:rPr>
    </w:pPr>
  </w:p>
  <w:p w:rsidR="0090753B" w:rsidRPr="00E62A90" w:rsidRDefault="005039A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039A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039A8" w:rsidP="00E03674">
    <w:pPr>
      <w:pStyle w:val="Footer"/>
      <w:jc w:val="center"/>
      <w:rPr>
        <w:sz w:val="16"/>
        <w:szCs w:val="16"/>
      </w:rPr>
    </w:pPr>
  </w:p>
  <w:p w:rsidR="0090753B" w:rsidRPr="002B6C39" w:rsidRDefault="005039A8">
    <w:pPr>
      <w:pStyle w:val="Footer"/>
    </w:pPr>
  </w:p>
  <w:p w:rsidR="0090753B" w:rsidRDefault="005039A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A8" w:rsidRDefault="005039A8">
      <w:pPr>
        <w:spacing w:after="0" w:line="240" w:lineRule="auto"/>
      </w:pPr>
      <w:r>
        <w:separator/>
      </w:r>
    </w:p>
  </w:footnote>
  <w:footnote w:type="continuationSeparator" w:id="0">
    <w:p w:rsidR="005039A8" w:rsidRDefault="0050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3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DA5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2A80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361B"/>
    <w:rsid w:val="000A4E6F"/>
    <w:rsid w:val="000A51D8"/>
    <w:rsid w:val="000A5A7F"/>
    <w:rsid w:val="000A6212"/>
    <w:rsid w:val="000A67F2"/>
    <w:rsid w:val="000B0AFA"/>
    <w:rsid w:val="000B5A29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4596"/>
    <w:rsid w:val="0011173A"/>
    <w:rsid w:val="0011391C"/>
    <w:rsid w:val="00117AC1"/>
    <w:rsid w:val="001224BB"/>
    <w:rsid w:val="0012596A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65F21"/>
    <w:rsid w:val="001710BF"/>
    <w:rsid w:val="00172BC6"/>
    <w:rsid w:val="0017499E"/>
    <w:rsid w:val="00185B59"/>
    <w:rsid w:val="00186C75"/>
    <w:rsid w:val="00187785"/>
    <w:rsid w:val="00190FC5"/>
    <w:rsid w:val="0019314F"/>
    <w:rsid w:val="001A0577"/>
    <w:rsid w:val="001A0D09"/>
    <w:rsid w:val="001A249A"/>
    <w:rsid w:val="001A675A"/>
    <w:rsid w:val="001A6E6C"/>
    <w:rsid w:val="001B0136"/>
    <w:rsid w:val="001B0C65"/>
    <w:rsid w:val="001B309C"/>
    <w:rsid w:val="001B3713"/>
    <w:rsid w:val="001B3C51"/>
    <w:rsid w:val="001B5800"/>
    <w:rsid w:val="001C27D3"/>
    <w:rsid w:val="001C3021"/>
    <w:rsid w:val="001C3D32"/>
    <w:rsid w:val="001D03E6"/>
    <w:rsid w:val="001D3A38"/>
    <w:rsid w:val="001D71CD"/>
    <w:rsid w:val="001E25A7"/>
    <w:rsid w:val="001E3DD3"/>
    <w:rsid w:val="001E502E"/>
    <w:rsid w:val="001E61FF"/>
    <w:rsid w:val="001E7CA4"/>
    <w:rsid w:val="001F0650"/>
    <w:rsid w:val="001F3004"/>
    <w:rsid w:val="001F32BE"/>
    <w:rsid w:val="001F4887"/>
    <w:rsid w:val="001F7797"/>
    <w:rsid w:val="00201C88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8017D"/>
    <w:rsid w:val="00281036"/>
    <w:rsid w:val="0028482F"/>
    <w:rsid w:val="0028576E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C7B8D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2F5BEC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4437"/>
    <w:rsid w:val="0034535B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3CC5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022"/>
    <w:rsid w:val="003C1A8D"/>
    <w:rsid w:val="003C2110"/>
    <w:rsid w:val="003C287F"/>
    <w:rsid w:val="003C574B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3F66"/>
    <w:rsid w:val="00474FEC"/>
    <w:rsid w:val="0047550E"/>
    <w:rsid w:val="00480A19"/>
    <w:rsid w:val="00490249"/>
    <w:rsid w:val="00490842"/>
    <w:rsid w:val="00491A00"/>
    <w:rsid w:val="00493636"/>
    <w:rsid w:val="00497B17"/>
    <w:rsid w:val="004A32A5"/>
    <w:rsid w:val="004B0CAE"/>
    <w:rsid w:val="004B23EB"/>
    <w:rsid w:val="004B48B7"/>
    <w:rsid w:val="004B72CD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656"/>
    <w:rsid w:val="004F2E29"/>
    <w:rsid w:val="004F4FA5"/>
    <w:rsid w:val="004F5530"/>
    <w:rsid w:val="004F5680"/>
    <w:rsid w:val="004F79DF"/>
    <w:rsid w:val="005039A8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16"/>
    <w:rsid w:val="00553168"/>
    <w:rsid w:val="00554A0F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5A1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0FDD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4BC1"/>
    <w:rsid w:val="00790DE0"/>
    <w:rsid w:val="0079495C"/>
    <w:rsid w:val="00795567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017ED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64EB"/>
    <w:rsid w:val="00857EBD"/>
    <w:rsid w:val="008611F9"/>
    <w:rsid w:val="0086225E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100A"/>
    <w:rsid w:val="008D2CBF"/>
    <w:rsid w:val="008D5A0F"/>
    <w:rsid w:val="008D660A"/>
    <w:rsid w:val="008D7B4A"/>
    <w:rsid w:val="008E0F60"/>
    <w:rsid w:val="008E1417"/>
    <w:rsid w:val="008E1E60"/>
    <w:rsid w:val="008E311C"/>
    <w:rsid w:val="008F2539"/>
    <w:rsid w:val="008F2FD1"/>
    <w:rsid w:val="008F41A4"/>
    <w:rsid w:val="008F6C77"/>
    <w:rsid w:val="009018E5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86FB4"/>
    <w:rsid w:val="00997063"/>
    <w:rsid w:val="009979B9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5FE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299A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6A24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77A67"/>
    <w:rsid w:val="00B822AA"/>
    <w:rsid w:val="00B83815"/>
    <w:rsid w:val="00B84AC9"/>
    <w:rsid w:val="00B84E2C"/>
    <w:rsid w:val="00B84F9D"/>
    <w:rsid w:val="00B9007E"/>
    <w:rsid w:val="00B90942"/>
    <w:rsid w:val="00B90BA0"/>
    <w:rsid w:val="00B92485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A7D07"/>
    <w:rsid w:val="00CB2757"/>
    <w:rsid w:val="00CB3F6E"/>
    <w:rsid w:val="00CB62C1"/>
    <w:rsid w:val="00CB7C2A"/>
    <w:rsid w:val="00CC0EE1"/>
    <w:rsid w:val="00CC2A74"/>
    <w:rsid w:val="00CC422D"/>
    <w:rsid w:val="00CC4742"/>
    <w:rsid w:val="00CC6FBA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376B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0781"/>
    <w:rsid w:val="00D82DE5"/>
    <w:rsid w:val="00D86957"/>
    <w:rsid w:val="00D93D8D"/>
    <w:rsid w:val="00DA008F"/>
    <w:rsid w:val="00DA2C6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200E9"/>
    <w:rsid w:val="00E314A2"/>
    <w:rsid w:val="00E355D0"/>
    <w:rsid w:val="00E379CF"/>
    <w:rsid w:val="00E37C3F"/>
    <w:rsid w:val="00E45220"/>
    <w:rsid w:val="00E47FE3"/>
    <w:rsid w:val="00E50478"/>
    <w:rsid w:val="00E51737"/>
    <w:rsid w:val="00E52B06"/>
    <w:rsid w:val="00E55247"/>
    <w:rsid w:val="00E56821"/>
    <w:rsid w:val="00E609F8"/>
    <w:rsid w:val="00E6170E"/>
    <w:rsid w:val="00E61EAA"/>
    <w:rsid w:val="00E63A1B"/>
    <w:rsid w:val="00E64167"/>
    <w:rsid w:val="00E66872"/>
    <w:rsid w:val="00E676BB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3BF1"/>
    <w:rsid w:val="00F63F6A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B0D2-36F7-423F-83FD-117AC29C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92</cp:revision>
  <cp:lastPrinted>2016-12-27T07:41:00Z</cp:lastPrinted>
  <dcterms:created xsi:type="dcterms:W3CDTF">2016-11-29T07:48:00Z</dcterms:created>
  <dcterms:modified xsi:type="dcterms:W3CDTF">2017-01-05T08:22:00Z</dcterms:modified>
</cp:coreProperties>
</file>