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2F" w:rsidRPr="00840A2F" w:rsidRDefault="00840A2F" w:rsidP="00840A2F">
      <w:pPr>
        <w:spacing w:after="0" w:line="276" w:lineRule="auto"/>
        <w:rPr>
          <w:rFonts w:ascii="Tahoma" w:eastAsia="Calibri" w:hAnsi="Tahoma" w:cs="Tahoma"/>
          <w:b/>
          <w:noProof/>
          <w:sz w:val="28"/>
          <w:szCs w:val="28"/>
        </w:rPr>
      </w:pPr>
      <w:bookmarkStart w:id="0" w:name="_GoBack"/>
      <w:bookmarkEnd w:id="0"/>
      <w:r w:rsidRPr="00840A2F">
        <w:rPr>
          <w:rFonts w:ascii="Tahoma" w:eastAsia="Calibri" w:hAnsi="Tahoma" w:cs="Tahoma"/>
          <w:b/>
          <w:noProof/>
          <w:sz w:val="28"/>
          <w:szCs w:val="28"/>
        </w:rPr>
        <w:t>CRNA GORA</w:t>
      </w:r>
    </w:p>
    <w:p w:rsidR="00840A2F" w:rsidRPr="00840A2F" w:rsidRDefault="00840A2F" w:rsidP="00840A2F">
      <w:pPr>
        <w:spacing w:after="0" w:line="276" w:lineRule="auto"/>
        <w:rPr>
          <w:rFonts w:ascii="Tahoma" w:eastAsia="Calibri" w:hAnsi="Tahoma" w:cs="Tahoma"/>
          <w:b/>
          <w:noProof/>
          <w:sz w:val="24"/>
          <w:szCs w:val="24"/>
        </w:rPr>
      </w:pPr>
      <w:r w:rsidRPr="00840A2F">
        <w:rPr>
          <w:rFonts w:ascii="Tahoma" w:eastAsia="Calibri" w:hAnsi="Tahoma" w:cs="Tahoma"/>
          <w:b/>
          <w:noProof/>
          <w:sz w:val="24"/>
          <w:szCs w:val="24"/>
        </w:rPr>
        <w:t>AGENCIJA ZA ZAŠTITU LIČNIH PODATAKA</w:t>
      </w:r>
    </w:p>
    <w:p w:rsidR="00840A2F" w:rsidRPr="00840A2F" w:rsidRDefault="00840A2F" w:rsidP="00840A2F">
      <w:pPr>
        <w:spacing w:after="0" w:line="276" w:lineRule="auto"/>
        <w:rPr>
          <w:rFonts w:ascii="Tahoma" w:eastAsia="Calibri" w:hAnsi="Tahoma" w:cs="Tahoma"/>
          <w:b/>
          <w:noProof/>
          <w:sz w:val="24"/>
          <w:szCs w:val="24"/>
        </w:rPr>
      </w:pPr>
      <w:r w:rsidRPr="00840A2F">
        <w:rPr>
          <w:rFonts w:ascii="Tahoma" w:eastAsia="Calibri" w:hAnsi="Tahoma" w:cs="Tahoma"/>
          <w:b/>
          <w:noProof/>
          <w:sz w:val="24"/>
          <w:szCs w:val="24"/>
        </w:rPr>
        <w:t>I SLOBODAN PRISTUP INFORMACIJAMA</w:t>
      </w:r>
    </w:p>
    <w:p w:rsidR="00840A2F" w:rsidRPr="00840A2F" w:rsidRDefault="00840A2F" w:rsidP="00840A2F">
      <w:pPr>
        <w:spacing w:after="0" w:line="276" w:lineRule="auto"/>
        <w:rPr>
          <w:rFonts w:ascii="Tahoma" w:eastAsia="Calibri" w:hAnsi="Tahoma" w:cs="Tahoma"/>
          <w:noProof/>
          <w:sz w:val="24"/>
          <w:szCs w:val="24"/>
        </w:rPr>
      </w:pPr>
      <w:r w:rsidRPr="00840A2F">
        <w:rPr>
          <w:rFonts w:ascii="Tahoma" w:eastAsia="Calibri" w:hAnsi="Tahoma" w:cs="Tahoma"/>
          <w:b/>
          <w:noProof/>
          <w:sz w:val="24"/>
          <w:szCs w:val="24"/>
        </w:rPr>
        <w:t>Br. 05-18-9710-12/19</w:t>
      </w:r>
    </w:p>
    <w:p w:rsidR="00840A2F" w:rsidRPr="00840A2F" w:rsidRDefault="00840A2F" w:rsidP="00840A2F">
      <w:pPr>
        <w:spacing w:after="0" w:line="276" w:lineRule="auto"/>
        <w:rPr>
          <w:rFonts w:ascii="Tahoma" w:eastAsia="Calibri" w:hAnsi="Tahoma" w:cs="Tahoma"/>
          <w:b/>
          <w:noProof/>
          <w:sz w:val="24"/>
          <w:szCs w:val="24"/>
        </w:rPr>
      </w:pPr>
      <w:r w:rsidRPr="00840A2F">
        <w:rPr>
          <w:rFonts w:ascii="Tahoma" w:eastAsia="Calibri" w:hAnsi="Tahoma" w:cs="Tahoma"/>
          <w:b/>
          <w:noProof/>
          <w:sz w:val="24"/>
          <w:szCs w:val="24"/>
        </w:rPr>
        <w:t>Podgorica, 12.02.2020.</w:t>
      </w:r>
    </w:p>
    <w:p w:rsidR="00840A2F" w:rsidRPr="00840A2F" w:rsidRDefault="00840A2F" w:rsidP="00840A2F">
      <w:pPr>
        <w:spacing w:after="0" w:line="276" w:lineRule="auto"/>
        <w:rPr>
          <w:rFonts w:ascii="Tahoma" w:eastAsia="Calibri" w:hAnsi="Tahoma" w:cs="Tahoma"/>
          <w:b/>
          <w:noProof/>
          <w:sz w:val="24"/>
          <w:szCs w:val="24"/>
        </w:rPr>
      </w:pPr>
    </w:p>
    <w:p w:rsidR="00840A2F" w:rsidRPr="00840A2F" w:rsidRDefault="00840A2F" w:rsidP="00840A2F">
      <w:pPr>
        <w:spacing w:after="200" w:line="276" w:lineRule="auto"/>
        <w:jc w:val="both"/>
        <w:rPr>
          <w:rFonts w:ascii="Tahoma" w:eastAsia="Calibri" w:hAnsi="Tahoma" w:cs="Tahoma"/>
          <w:sz w:val="24"/>
          <w:szCs w:val="24"/>
          <w:lang w:val="sr-Latn-CS"/>
        </w:rPr>
      </w:pPr>
      <w:r w:rsidRPr="00840A2F">
        <w:rPr>
          <w:rFonts w:ascii="Tahoma" w:eastAsia="Calibri" w:hAnsi="Tahoma" w:cs="Tahoma"/>
          <w:sz w:val="24"/>
          <w:szCs w:val="24"/>
          <w:lang w:val="sr-Latn-CS"/>
        </w:rPr>
        <w:t>Na osnovu člana 47 stav 2, člana 56 stav 1 tačka 6 i 70 stav 1 Zakona o zaštiti podataka o ličnosti („Sl. list CG“ br. 79/08, 70/09, 44</w:t>
      </w:r>
      <w:r w:rsidRPr="00840A2F">
        <w:rPr>
          <w:rFonts w:ascii="Tahoma" w:eastAsia="Calibri" w:hAnsi="Tahoma" w:cs="Tahoma"/>
          <w:sz w:val="24"/>
          <w:szCs w:val="24"/>
        </w:rPr>
        <w:t>/12  i 22/17</w:t>
      </w:r>
      <w:r w:rsidRPr="00840A2F">
        <w:rPr>
          <w:rFonts w:ascii="Tahoma" w:eastAsia="Calibri" w:hAnsi="Tahoma" w:cs="Tahoma"/>
          <w:sz w:val="24"/>
          <w:szCs w:val="24"/>
          <w:lang w:val="sr-Latn-CS"/>
        </w:rPr>
        <w:t>), odlučujući po Prigovoru o izvršenom nadzoru, br. 05-18-9710-10/19  od 20.01.2020. godine na Zapisnik o izvršenom nadzoru, br. 05-18-9710-5/19 od 23.12.2019. godine, koji je izja</w:t>
      </w:r>
      <w:r>
        <w:rPr>
          <w:rFonts w:ascii="Tahoma" w:eastAsia="Calibri" w:hAnsi="Tahoma" w:cs="Tahoma"/>
          <w:sz w:val="24"/>
          <w:szCs w:val="24"/>
          <w:lang w:val="sr-Latn-CS"/>
        </w:rPr>
        <w:t>vljen od strane XX</w:t>
      </w:r>
      <w:r w:rsidRPr="00840A2F">
        <w:rPr>
          <w:rFonts w:ascii="Tahoma" w:eastAsia="Calibri" w:hAnsi="Tahoma" w:cs="Tahoma"/>
          <w:sz w:val="24"/>
          <w:szCs w:val="24"/>
          <w:lang w:val="sr-Latn-CS"/>
        </w:rPr>
        <w:t xml:space="preserve"> iz Podgorice, Savjet Agencije za za</w:t>
      </w:r>
      <w:r w:rsidRPr="00840A2F">
        <w:rPr>
          <w:rFonts w:ascii="Tahoma" w:eastAsia="Calibri" w:hAnsi="Tahoma" w:cs="Tahoma"/>
          <w:sz w:val="24"/>
          <w:szCs w:val="24"/>
        </w:rPr>
        <w:t xml:space="preserve">štitu ličnih podataka i slobodan pristup informacijama </w:t>
      </w:r>
      <w:r w:rsidRPr="00840A2F">
        <w:rPr>
          <w:rFonts w:ascii="Tahoma" w:eastAsia="Calibri" w:hAnsi="Tahoma" w:cs="Tahoma"/>
          <w:sz w:val="24"/>
          <w:szCs w:val="24"/>
          <w:lang w:val="sr-Latn-CS"/>
        </w:rPr>
        <w:t>je na sjednici održanoj dana 31.01.2020. godine donio</w:t>
      </w:r>
    </w:p>
    <w:p w:rsidR="00840A2F" w:rsidRPr="00840A2F" w:rsidRDefault="00840A2F" w:rsidP="00840A2F">
      <w:pPr>
        <w:spacing w:after="200" w:line="240" w:lineRule="auto"/>
        <w:jc w:val="center"/>
        <w:rPr>
          <w:rFonts w:ascii="Tahoma" w:eastAsia="Calibri" w:hAnsi="Tahoma" w:cs="Tahoma"/>
          <w:b/>
          <w:sz w:val="24"/>
          <w:szCs w:val="24"/>
          <w:lang w:val="sr-Latn-CS"/>
        </w:rPr>
      </w:pPr>
    </w:p>
    <w:p w:rsidR="00840A2F" w:rsidRPr="00840A2F" w:rsidRDefault="00840A2F" w:rsidP="00840A2F">
      <w:pPr>
        <w:spacing w:after="200" w:line="240" w:lineRule="auto"/>
        <w:jc w:val="center"/>
        <w:rPr>
          <w:rFonts w:ascii="Tahoma" w:eastAsia="Calibri" w:hAnsi="Tahoma" w:cs="Tahoma"/>
          <w:b/>
          <w:sz w:val="24"/>
          <w:szCs w:val="24"/>
          <w:lang w:val="sr-Latn-CS"/>
        </w:rPr>
      </w:pPr>
      <w:r w:rsidRPr="00840A2F">
        <w:rPr>
          <w:rFonts w:ascii="Tahoma" w:eastAsia="Calibri" w:hAnsi="Tahoma" w:cs="Tahoma"/>
          <w:b/>
          <w:sz w:val="24"/>
          <w:szCs w:val="24"/>
          <w:lang w:val="sr-Latn-CS"/>
        </w:rPr>
        <w:t>R J E Š E N J E</w:t>
      </w:r>
    </w:p>
    <w:p w:rsidR="00840A2F" w:rsidRPr="00840A2F" w:rsidRDefault="00840A2F" w:rsidP="00840A2F">
      <w:pPr>
        <w:spacing w:after="200" w:line="276" w:lineRule="auto"/>
        <w:jc w:val="both"/>
        <w:rPr>
          <w:rFonts w:ascii="Tahoma" w:eastAsia="Calibri" w:hAnsi="Tahoma" w:cs="Tahoma"/>
          <w:b/>
          <w:sz w:val="24"/>
          <w:szCs w:val="24"/>
          <w:lang w:val="sr-Latn-CS"/>
        </w:rPr>
      </w:pPr>
      <w:r w:rsidRPr="00840A2F">
        <w:rPr>
          <w:rFonts w:ascii="Tahoma" w:eastAsia="Calibri" w:hAnsi="Tahoma" w:cs="Tahoma"/>
          <w:b/>
          <w:sz w:val="24"/>
          <w:szCs w:val="24"/>
          <w:lang w:val="sr-Latn-CS"/>
        </w:rPr>
        <w:t xml:space="preserve">I </w:t>
      </w:r>
      <w:r w:rsidRPr="00840A2F">
        <w:rPr>
          <w:rFonts w:ascii="Tahoma" w:eastAsia="Calibri" w:hAnsi="Tahoma" w:cs="Tahoma"/>
          <w:b/>
          <w:sz w:val="24"/>
          <w:szCs w:val="24"/>
          <w:lang w:val="sr-Latn-CS"/>
        </w:rPr>
        <w:tab/>
        <w:t>Usvaja se Prigovor o izvršenom nadzoru  br. 05-18-9710-10/19  od 20.01.2020. godine,</w:t>
      </w:r>
      <w:r>
        <w:rPr>
          <w:rFonts w:ascii="Tahoma" w:eastAsia="Calibri" w:hAnsi="Tahoma" w:cs="Tahoma"/>
          <w:b/>
          <w:sz w:val="24"/>
          <w:szCs w:val="24"/>
          <w:lang w:val="sr-Latn-CS"/>
        </w:rPr>
        <w:t xml:space="preserve"> XX</w:t>
      </w:r>
      <w:r w:rsidRPr="00840A2F">
        <w:rPr>
          <w:rFonts w:ascii="Tahoma" w:eastAsia="Calibri" w:hAnsi="Tahoma" w:cs="Tahoma"/>
          <w:b/>
          <w:sz w:val="24"/>
          <w:szCs w:val="24"/>
          <w:lang w:val="sr-Latn-CS"/>
        </w:rPr>
        <w:t>, na Zapisnik o izvršenom nadzoru, br. 05-18-9710-5/19 od 23.12.2019. godine,  kao osnovan</w:t>
      </w:r>
    </w:p>
    <w:p w:rsidR="00840A2F" w:rsidRPr="00840A2F" w:rsidRDefault="00840A2F" w:rsidP="00840A2F">
      <w:pPr>
        <w:spacing w:after="200" w:line="276" w:lineRule="auto"/>
        <w:jc w:val="both"/>
        <w:rPr>
          <w:rFonts w:ascii="Tahoma" w:eastAsia="Calibri" w:hAnsi="Tahoma" w:cs="Tahoma"/>
          <w:b/>
          <w:sz w:val="24"/>
          <w:szCs w:val="24"/>
          <w:lang w:val="sr-Latn-CS"/>
        </w:rPr>
      </w:pPr>
      <w:r w:rsidRPr="00840A2F">
        <w:rPr>
          <w:rFonts w:ascii="Tahoma" w:eastAsia="Calibri" w:hAnsi="Tahoma" w:cs="Tahoma"/>
          <w:b/>
          <w:sz w:val="24"/>
          <w:szCs w:val="24"/>
          <w:lang w:val="sr-Latn-CS"/>
        </w:rPr>
        <w:t xml:space="preserve">II </w:t>
      </w:r>
      <w:r w:rsidRPr="00840A2F">
        <w:rPr>
          <w:rFonts w:ascii="Tahoma" w:eastAsia="Calibri" w:hAnsi="Tahoma" w:cs="Tahoma"/>
          <w:b/>
          <w:sz w:val="24"/>
          <w:szCs w:val="24"/>
          <w:lang w:val="sr-Latn-CS"/>
        </w:rPr>
        <w:tab/>
        <w:t xml:space="preserve">Nalaže se Odsjeku za nadzor u oblasti zaštite ličnih podataka da sprovede  postupak nadzora kod JU </w:t>
      </w:r>
      <w:r w:rsidRPr="00840A2F">
        <w:rPr>
          <w:rFonts w:ascii="Tahoma" w:eastAsia="Calibri" w:hAnsi="Tahoma" w:cs="Tahoma"/>
          <w:b/>
          <w:sz w:val="24"/>
          <w:szCs w:val="24"/>
        </w:rPr>
        <w:t>Centra za socijalni rad  za Glavni grad Podgorica i opštine u okviru Glavnog grada Golubovci i opštinu Tuzi</w:t>
      </w:r>
      <w:r w:rsidRPr="00840A2F">
        <w:rPr>
          <w:rFonts w:ascii="Tahoma" w:eastAsia="Calibri" w:hAnsi="Tahoma" w:cs="Tahoma"/>
          <w:sz w:val="24"/>
          <w:szCs w:val="24"/>
          <w:lang w:val="sr-Latn-CS"/>
        </w:rPr>
        <w:t xml:space="preserve"> </w:t>
      </w:r>
      <w:r w:rsidRPr="00840A2F">
        <w:rPr>
          <w:rFonts w:ascii="Tahoma" w:eastAsia="Calibri" w:hAnsi="Tahoma" w:cs="Tahoma"/>
          <w:b/>
          <w:sz w:val="24"/>
          <w:szCs w:val="24"/>
          <w:lang w:val="sr-Latn-CS"/>
        </w:rPr>
        <w:t xml:space="preserve">radi  utvrđivanja činjeničnog stanja da li JU </w:t>
      </w:r>
      <w:r w:rsidRPr="00840A2F">
        <w:rPr>
          <w:rFonts w:ascii="Tahoma" w:eastAsia="Calibri" w:hAnsi="Tahoma" w:cs="Tahoma"/>
          <w:b/>
          <w:sz w:val="24"/>
          <w:szCs w:val="24"/>
        </w:rPr>
        <w:t>Centra za socijalni rad  za Glavni grad Podgorica i opštine u okviru Glavnog grada Golubovci i opštinu Tuzi</w:t>
      </w:r>
      <w:r w:rsidRPr="00840A2F">
        <w:rPr>
          <w:rFonts w:ascii="Tahoma" w:eastAsia="Calibri" w:hAnsi="Tahoma" w:cs="Tahoma"/>
          <w:b/>
          <w:sz w:val="24"/>
          <w:szCs w:val="24"/>
          <w:lang w:val="sr-Latn-CS"/>
        </w:rPr>
        <w:t xml:space="preserve"> ima status korisnika ličnih podataka  u slučaju kada fizička lica podnose  pritužbe na rad drugog mjesno nadležnog centara za socijalni rad</w:t>
      </w:r>
    </w:p>
    <w:p w:rsidR="00840A2F" w:rsidRPr="00840A2F" w:rsidRDefault="00840A2F" w:rsidP="00840A2F">
      <w:pPr>
        <w:spacing w:after="200" w:line="276" w:lineRule="auto"/>
        <w:jc w:val="both"/>
        <w:rPr>
          <w:rFonts w:ascii="Tahoma" w:eastAsia="Calibri" w:hAnsi="Tahoma" w:cs="Tahoma"/>
          <w:sz w:val="24"/>
          <w:szCs w:val="24"/>
          <w:lang w:val="sr-Latn-CS"/>
        </w:rPr>
      </w:pPr>
      <w:r w:rsidRPr="00840A2F">
        <w:rPr>
          <w:rFonts w:ascii="Tahoma" w:eastAsia="Calibri" w:hAnsi="Tahoma" w:cs="Tahoma"/>
          <w:b/>
          <w:sz w:val="24"/>
          <w:szCs w:val="24"/>
          <w:lang w:val="sr-Latn-CS"/>
        </w:rPr>
        <w:t>III     Nalaže se Odsjeku za nadzor da mjeru iz stava II ovog Rješenja izvrši u roku od pet dana od dana prijema istog</w:t>
      </w:r>
    </w:p>
    <w:p w:rsidR="00840A2F" w:rsidRPr="00840A2F" w:rsidRDefault="00840A2F" w:rsidP="00840A2F">
      <w:pPr>
        <w:spacing w:after="200" w:line="276" w:lineRule="auto"/>
        <w:jc w:val="both"/>
        <w:rPr>
          <w:rFonts w:ascii="Tahoma" w:eastAsia="Calibri" w:hAnsi="Tahoma" w:cs="Tahoma"/>
          <w:b/>
          <w:sz w:val="24"/>
          <w:szCs w:val="24"/>
          <w:lang w:val="sr-Latn-ME"/>
        </w:rPr>
      </w:pPr>
    </w:p>
    <w:p w:rsidR="00840A2F" w:rsidRPr="00840A2F" w:rsidRDefault="00840A2F" w:rsidP="00840A2F">
      <w:pPr>
        <w:spacing w:after="200" w:line="276" w:lineRule="auto"/>
        <w:jc w:val="center"/>
        <w:rPr>
          <w:rFonts w:ascii="Tahoma" w:eastAsia="Calibri" w:hAnsi="Tahoma" w:cs="Tahoma"/>
          <w:b/>
          <w:sz w:val="24"/>
          <w:szCs w:val="24"/>
          <w:lang w:val="sr-Latn-CS"/>
        </w:rPr>
      </w:pPr>
      <w:r w:rsidRPr="00840A2F">
        <w:rPr>
          <w:rFonts w:ascii="Tahoma" w:eastAsia="Calibri" w:hAnsi="Tahoma" w:cs="Tahoma"/>
          <w:b/>
          <w:sz w:val="24"/>
          <w:szCs w:val="24"/>
          <w:lang w:val="sr-Latn-CS"/>
        </w:rPr>
        <w:t>O b r a z l o ž e nj e</w:t>
      </w:r>
    </w:p>
    <w:p w:rsidR="00840A2F" w:rsidRPr="00840A2F" w:rsidRDefault="00840A2F" w:rsidP="00840A2F">
      <w:pPr>
        <w:spacing w:after="200" w:line="276" w:lineRule="auto"/>
        <w:jc w:val="both"/>
        <w:rPr>
          <w:rFonts w:ascii="Tahoma" w:eastAsia="Calibri" w:hAnsi="Tahoma" w:cs="Tahoma"/>
          <w:sz w:val="24"/>
          <w:szCs w:val="24"/>
          <w:lang w:val="sr-Latn-BA"/>
        </w:rPr>
      </w:pPr>
      <w:r w:rsidRPr="00840A2F">
        <w:rPr>
          <w:rFonts w:ascii="Tahoma" w:eastAsia="Calibri" w:hAnsi="Tahoma" w:cs="Tahoma"/>
          <w:sz w:val="24"/>
          <w:szCs w:val="24"/>
          <w:lang w:val="sr-Latn-CS"/>
        </w:rPr>
        <w:t xml:space="preserve">Agenciji za zaštitu ličnih podataka i slobodan pristup informacijama Zahtjevom za zaštitu prava </w:t>
      </w:r>
      <w:r w:rsidRPr="00840A2F">
        <w:rPr>
          <w:rFonts w:ascii="Tahoma" w:eastAsia="Calibri" w:hAnsi="Tahoma" w:cs="Tahoma"/>
          <w:sz w:val="24"/>
          <w:szCs w:val="24"/>
          <w:lang w:val="sr-Latn-BA"/>
        </w:rPr>
        <w:t>br.05-18-9710-1/19 od 10.12.2019. godi</w:t>
      </w:r>
      <w:r>
        <w:rPr>
          <w:rFonts w:ascii="Tahoma" w:eastAsia="Calibri" w:hAnsi="Tahoma" w:cs="Tahoma"/>
          <w:sz w:val="24"/>
          <w:szCs w:val="24"/>
          <w:lang w:val="sr-Latn-BA"/>
        </w:rPr>
        <w:t xml:space="preserve">ne obratila se XX, ul.XX </w:t>
      </w:r>
      <w:r w:rsidRPr="00840A2F">
        <w:rPr>
          <w:rFonts w:ascii="Tahoma" w:eastAsia="Calibri" w:hAnsi="Tahoma" w:cs="Tahoma"/>
          <w:sz w:val="24"/>
          <w:szCs w:val="24"/>
          <w:lang w:val="sr-Latn-CS"/>
        </w:rPr>
        <w:t>U Zahtjevu se, u bitnom,  navodi sljedeće</w:t>
      </w:r>
      <w:r w:rsidRPr="00840A2F">
        <w:rPr>
          <w:rFonts w:ascii="Tahoma" w:eastAsia="Calibri" w:hAnsi="Tahoma" w:cs="Tahoma"/>
          <w:sz w:val="24"/>
          <w:szCs w:val="24"/>
        </w:rPr>
        <w:t xml:space="preserve">: da je direktor JU </w:t>
      </w:r>
      <w:r w:rsidRPr="00840A2F">
        <w:rPr>
          <w:rFonts w:ascii="Tahoma" w:eastAsia="Calibri" w:hAnsi="Tahoma" w:cs="Tahoma"/>
          <w:sz w:val="24"/>
          <w:szCs w:val="24"/>
          <w:lang w:val="sr-Latn-BA"/>
        </w:rPr>
        <w:t xml:space="preserve">Centra za socijalni rad za opštine Kotor, Tivat i Budva, </w:t>
      </w:r>
      <w:r>
        <w:rPr>
          <w:rFonts w:ascii="Tahoma" w:eastAsia="Calibri" w:hAnsi="Tahoma" w:cs="Tahoma"/>
          <w:sz w:val="24"/>
          <w:szCs w:val="24"/>
          <w:lang w:val="sr-Latn-BA"/>
        </w:rPr>
        <w:t>XX</w:t>
      </w:r>
      <w:r w:rsidRPr="00840A2F">
        <w:rPr>
          <w:rFonts w:ascii="Tahoma" w:eastAsia="Calibri" w:hAnsi="Tahoma" w:cs="Tahoma"/>
          <w:sz w:val="24"/>
          <w:szCs w:val="24"/>
          <w:lang w:val="sr-Latn-BA"/>
        </w:rPr>
        <w:t xml:space="preserve"> poslao email sa prilogom dokumenata, koji sadrži njene lične podatke i u CC emaila (kopiji) iste proslijedio njenoj direktorici, bez opravdanog razloga i  bez saglasnosti dao na uvid njene lične podatke trećem licu. U prilogu Zahtjeva za zaštitu prava </w:t>
      </w:r>
      <w:r w:rsidRPr="00840A2F">
        <w:rPr>
          <w:rFonts w:ascii="Tahoma" w:eastAsia="Calibri" w:hAnsi="Tahoma" w:cs="Tahoma"/>
          <w:sz w:val="24"/>
          <w:szCs w:val="24"/>
          <w:lang w:val="sr-Latn-BA"/>
        </w:rPr>
        <w:lastRenderedPageBreak/>
        <w:t>dostavljena je sledeća dokumentacija: Kopija E-maila od 20.11.2019.godine; Mišljenje Zaštitnika ljudskih prava i sloboda Crne Gore, br. 01-511/19 od 08.11.2019.godine; Rješenje JU Centru za socijalni rad za opštine Kotor, Tivat i Budva, br.01-245 od 18.11.2019.godine; Zapisnik Uprave za inspekcijske poslove Odsjek za inspekcijsku socijalne i dječje zaštite, br.0232/4-96 od 08.11.2019.godine; Dopuna Inicijative.</w:t>
      </w:r>
    </w:p>
    <w:p w:rsidR="00840A2F" w:rsidRPr="00840A2F" w:rsidRDefault="00840A2F" w:rsidP="00840A2F">
      <w:pPr>
        <w:spacing w:after="0" w:line="276" w:lineRule="auto"/>
        <w:jc w:val="both"/>
        <w:rPr>
          <w:rFonts w:ascii="Tahoma" w:eastAsia="Calibri" w:hAnsi="Tahoma" w:cs="Tahoma"/>
          <w:sz w:val="24"/>
          <w:szCs w:val="24"/>
          <w:lang w:val="sr-Latn-BA"/>
        </w:rPr>
      </w:pPr>
      <w:r w:rsidRPr="00840A2F">
        <w:rPr>
          <w:rFonts w:ascii="Tahoma" w:eastAsia="Tahoma" w:hAnsi="Tahoma" w:cs="Tahoma"/>
          <w:spacing w:val="5"/>
          <w:sz w:val="24"/>
          <w:szCs w:val="24"/>
        </w:rPr>
        <w:t xml:space="preserve">Postupajući po predmetnom Zahtjevu izvršen je nadzor od strane kontrolora Agencije, u prisustvu </w:t>
      </w:r>
      <w:r>
        <w:rPr>
          <w:rFonts w:ascii="Tahoma" w:eastAsia="Tahoma" w:hAnsi="Tahoma" w:cs="Tahoma"/>
          <w:spacing w:val="5"/>
          <w:sz w:val="24"/>
          <w:szCs w:val="24"/>
        </w:rPr>
        <w:t>XX</w:t>
      </w:r>
      <w:r w:rsidRPr="00840A2F">
        <w:rPr>
          <w:rFonts w:ascii="Tahoma" w:eastAsia="Tahoma" w:hAnsi="Tahoma" w:cs="Tahoma"/>
          <w:spacing w:val="5"/>
          <w:sz w:val="24"/>
          <w:szCs w:val="24"/>
        </w:rPr>
        <w:t xml:space="preserve">, direktora JU Centra za socijalni rad </w:t>
      </w:r>
      <w:r w:rsidRPr="00840A2F">
        <w:rPr>
          <w:rFonts w:ascii="Tahoma" w:eastAsia="Calibri" w:hAnsi="Tahoma" w:cs="Tahoma"/>
          <w:sz w:val="24"/>
          <w:szCs w:val="24"/>
          <w:lang w:val="sr-Latn-BA"/>
        </w:rPr>
        <w:t>za opštine Kotor, Tivat i Budva</w:t>
      </w:r>
      <w:r>
        <w:rPr>
          <w:rFonts w:ascii="Tahoma" w:eastAsia="Calibri" w:hAnsi="Tahoma" w:cs="Tahoma"/>
          <w:sz w:val="24"/>
          <w:szCs w:val="24"/>
          <w:lang w:val="sr-Latn-BA"/>
        </w:rPr>
        <w:t xml:space="preserve"> i XX</w:t>
      </w:r>
      <w:r w:rsidRPr="00840A2F">
        <w:rPr>
          <w:rFonts w:ascii="Tahoma" w:eastAsia="Calibri" w:hAnsi="Tahoma" w:cs="Tahoma"/>
          <w:sz w:val="24"/>
          <w:szCs w:val="24"/>
          <w:lang w:val="sr-Latn-BA"/>
        </w:rPr>
        <w:t xml:space="preserve">, rukovodioca PJ u Budvi i shodno tome sačinjen je </w:t>
      </w:r>
      <w:r w:rsidRPr="00840A2F">
        <w:rPr>
          <w:rFonts w:ascii="Tahoma" w:eastAsia="Calibri" w:hAnsi="Tahoma" w:cs="Tahoma"/>
          <w:sz w:val="24"/>
          <w:szCs w:val="24"/>
          <w:lang w:val="sr-Latn-CS"/>
        </w:rPr>
        <w:t>Zapisnik o izvršenom nadzoru, br. 05-18-9710-5/19 od 23.12.2019. godine.</w:t>
      </w:r>
      <w:r w:rsidRPr="00840A2F">
        <w:rPr>
          <w:rFonts w:ascii="Tahoma" w:eastAsia="Calibri" w:hAnsi="Tahoma" w:cs="Tahoma"/>
          <w:sz w:val="24"/>
          <w:szCs w:val="24"/>
          <w:lang w:val="sr-Latn-BA"/>
        </w:rPr>
        <w:t xml:space="preserve"> </w:t>
      </w:r>
      <w:r w:rsidRPr="00840A2F">
        <w:rPr>
          <w:rFonts w:ascii="Tahoma" w:eastAsia="Tahoma" w:hAnsi="Tahoma" w:cs="Tahoma"/>
          <w:spacing w:val="5"/>
          <w:sz w:val="24"/>
          <w:szCs w:val="24"/>
        </w:rPr>
        <w:t>U toku nadzora je ustanovljeno sljedeće činjenično stanje ;</w:t>
      </w:r>
      <w:r w:rsidRPr="00840A2F">
        <w:rPr>
          <w:rFonts w:ascii="Tahoma" w:eastAsia="Calibri" w:hAnsi="Tahoma" w:cs="Tahoma"/>
          <w:sz w:val="24"/>
          <w:szCs w:val="24"/>
          <w:lang w:val="sr-Latn-BA"/>
        </w:rPr>
        <w:t xml:space="preserve"> da je JU Centar za socijalni rad za opštine Kotor, Tivat i Budva dana 22.10.2018. godine preuzeo predmet od </w:t>
      </w:r>
      <w:r w:rsidRPr="00840A2F">
        <w:rPr>
          <w:rFonts w:ascii="Tahoma" w:eastAsia="Calibri" w:hAnsi="Tahoma" w:cs="Tahoma"/>
          <w:sz w:val="24"/>
          <w:szCs w:val="24"/>
          <w:lang w:val="sr-Latn-CS"/>
        </w:rPr>
        <w:t xml:space="preserve">JU </w:t>
      </w:r>
      <w:r w:rsidRPr="00840A2F">
        <w:rPr>
          <w:rFonts w:ascii="Tahoma" w:eastAsia="Calibri" w:hAnsi="Tahoma" w:cs="Tahoma"/>
          <w:sz w:val="24"/>
          <w:szCs w:val="24"/>
        </w:rPr>
        <w:t>Centra za socijalni rad za Glavni grad Podgorica i opštine u okviru Glavnog grada Golubovci i opštinu Tuzi</w:t>
      </w:r>
      <w:r w:rsidRPr="00840A2F">
        <w:rPr>
          <w:rFonts w:ascii="Tahoma" w:eastAsia="Calibri" w:hAnsi="Tahoma" w:cs="Tahoma"/>
          <w:sz w:val="24"/>
          <w:szCs w:val="24"/>
          <w:lang w:val="sr-Latn-BA"/>
        </w:rPr>
        <w:t xml:space="preserve"> obzirom da je ranije prebivalište djeteta bil</w:t>
      </w:r>
      <w:r>
        <w:rPr>
          <w:rFonts w:ascii="Tahoma" w:eastAsia="Calibri" w:hAnsi="Tahoma" w:cs="Tahoma"/>
          <w:sz w:val="24"/>
          <w:szCs w:val="24"/>
          <w:lang w:val="sr-Latn-BA"/>
        </w:rPr>
        <w:t>o u Podgorici jer je mal. XX</w:t>
      </w:r>
      <w:r w:rsidRPr="00840A2F">
        <w:rPr>
          <w:rFonts w:ascii="Tahoma" w:eastAsia="Calibri" w:hAnsi="Tahoma" w:cs="Tahoma"/>
          <w:sz w:val="24"/>
          <w:szCs w:val="24"/>
          <w:lang w:val="sr-Latn-BA"/>
        </w:rPr>
        <w:t xml:space="preserve"> bo</w:t>
      </w:r>
      <w:r>
        <w:rPr>
          <w:rFonts w:ascii="Tahoma" w:eastAsia="Calibri" w:hAnsi="Tahoma" w:cs="Tahoma"/>
          <w:sz w:val="24"/>
          <w:szCs w:val="24"/>
          <w:lang w:val="sr-Latn-BA"/>
        </w:rPr>
        <w:t>ravila kod svoje majke u XX, sada pok. XX</w:t>
      </w:r>
      <w:r w:rsidRPr="00840A2F">
        <w:rPr>
          <w:rFonts w:ascii="Tahoma" w:eastAsia="Calibri" w:hAnsi="Tahoma" w:cs="Tahoma"/>
          <w:sz w:val="24"/>
          <w:szCs w:val="24"/>
          <w:lang w:val="sr-Latn-BA"/>
        </w:rPr>
        <w:t>, a zbog prebivališta pripadala je mjesno nadležnom</w:t>
      </w:r>
      <w:r w:rsidRPr="00840A2F">
        <w:rPr>
          <w:rFonts w:ascii="Tahoma" w:eastAsia="Calibri" w:hAnsi="Tahoma" w:cs="Tahoma"/>
          <w:sz w:val="24"/>
          <w:szCs w:val="24"/>
          <w:lang w:val="sr-Latn-CS"/>
        </w:rPr>
        <w:t xml:space="preserve"> JU </w:t>
      </w:r>
      <w:r w:rsidRPr="00840A2F">
        <w:rPr>
          <w:rFonts w:ascii="Tahoma" w:eastAsia="Calibri" w:hAnsi="Tahoma" w:cs="Tahoma"/>
          <w:sz w:val="24"/>
          <w:szCs w:val="24"/>
        </w:rPr>
        <w:t>Centru za socijalni rad za Glavni grad Podgorica i opštine u okviru Glavnog grada Golubovci i opštinu Tuzi</w:t>
      </w:r>
      <w:r>
        <w:rPr>
          <w:rFonts w:ascii="Tahoma" w:eastAsia="Calibri" w:hAnsi="Tahoma" w:cs="Tahoma"/>
          <w:sz w:val="24"/>
          <w:szCs w:val="24"/>
          <w:lang w:val="sr-Latn-BA"/>
        </w:rPr>
        <w:t>; da sada mal. XX</w:t>
      </w:r>
      <w:r w:rsidRPr="00840A2F">
        <w:rPr>
          <w:rFonts w:ascii="Tahoma" w:eastAsia="Calibri" w:hAnsi="Tahoma" w:cs="Tahoma"/>
          <w:sz w:val="24"/>
          <w:szCs w:val="24"/>
          <w:lang w:val="sr-Latn-BA"/>
        </w:rPr>
        <w:t xml:space="preserve"> </w:t>
      </w:r>
      <w:r>
        <w:rPr>
          <w:rFonts w:ascii="Tahoma" w:eastAsia="Calibri" w:hAnsi="Tahoma" w:cs="Tahoma"/>
          <w:sz w:val="24"/>
          <w:szCs w:val="24"/>
          <w:lang w:val="sr-Latn-BA"/>
        </w:rPr>
        <w:t>živi u Budvi sa ocem XX</w:t>
      </w:r>
      <w:r w:rsidRPr="00840A2F">
        <w:rPr>
          <w:rFonts w:ascii="Tahoma" w:eastAsia="Calibri" w:hAnsi="Tahoma" w:cs="Tahoma"/>
          <w:sz w:val="24"/>
          <w:szCs w:val="24"/>
          <w:lang w:val="sr-Latn-BA"/>
        </w:rPr>
        <w:t xml:space="preserve"> i mjesno je nadležna PJ u Budvi; da djevojčica redovno pohađa Osnovnu školu; da su preduzete aktivnosti </w:t>
      </w:r>
      <w:r>
        <w:rPr>
          <w:rFonts w:ascii="Tahoma" w:eastAsia="Calibri" w:hAnsi="Tahoma" w:cs="Tahoma"/>
          <w:sz w:val="24"/>
          <w:szCs w:val="24"/>
          <w:lang w:val="sr-Latn-BA"/>
        </w:rPr>
        <w:t>posredovanja sa ocem mal. XX</w:t>
      </w:r>
      <w:r w:rsidRPr="00840A2F">
        <w:rPr>
          <w:rFonts w:ascii="Tahoma" w:eastAsia="Calibri" w:hAnsi="Tahoma" w:cs="Tahoma"/>
          <w:sz w:val="24"/>
          <w:szCs w:val="24"/>
          <w:lang w:val="sr-Latn-BA"/>
        </w:rPr>
        <w:t xml:space="preserve"> radi ostvarivanja kontakta sa rodbinom sa majčine strane koja želi kontak sa </w:t>
      </w:r>
      <w:r>
        <w:rPr>
          <w:rFonts w:ascii="Tahoma" w:eastAsia="Calibri" w:hAnsi="Tahoma" w:cs="Tahoma"/>
          <w:sz w:val="24"/>
          <w:szCs w:val="24"/>
          <w:lang w:val="sr-Latn-BA"/>
        </w:rPr>
        <w:t>djevojčicom; da otac mal. XX</w:t>
      </w:r>
      <w:r w:rsidRPr="00840A2F">
        <w:rPr>
          <w:rFonts w:ascii="Tahoma" w:eastAsia="Calibri" w:hAnsi="Tahoma" w:cs="Tahoma"/>
          <w:sz w:val="24"/>
          <w:szCs w:val="24"/>
          <w:lang w:val="sr-Latn-BA"/>
        </w:rPr>
        <w:t xml:space="preserve"> sarađuje sa JU Centrom; da je </w:t>
      </w:r>
      <w:r>
        <w:rPr>
          <w:rFonts w:ascii="Tahoma" w:eastAsia="Calibri" w:hAnsi="Tahoma" w:cs="Tahoma"/>
          <w:sz w:val="24"/>
          <w:szCs w:val="24"/>
          <w:lang w:val="sr-Latn-BA"/>
        </w:rPr>
        <w:t>obavljen razgovor sa XX</w:t>
      </w:r>
      <w:r w:rsidRPr="00840A2F">
        <w:rPr>
          <w:rFonts w:ascii="Tahoma" w:eastAsia="Calibri" w:hAnsi="Tahoma" w:cs="Tahoma"/>
          <w:sz w:val="24"/>
          <w:szCs w:val="24"/>
          <w:lang w:val="sr-Latn-BA"/>
        </w:rPr>
        <w:t>, ocem djevojčice koji je dao saglasnost</w:t>
      </w:r>
      <w:r>
        <w:rPr>
          <w:rFonts w:ascii="Tahoma" w:eastAsia="Calibri" w:hAnsi="Tahoma" w:cs="Tahoma"/>
          <w:sz w:val="24"/>
          <w:szCs w:val="24"/>
          <w:lang w:val="sr-Latn-BA"/>
        </w:rPr>
        <w:t xml:space="preserve"> da se njegova ćerka mal. XX</w:t>
      </w:r>
      <w:r w:rsidRPr="00840A2F">
        <w:rPr>
          <w:rFonts w:ascii="Tahoma" w:eastAsia="Calibri" w:hAnsi="Tahoma" w:cs="Tahoma"/>
          <w:sz w:val="24"/>
          <w:szCs w:val="24"/>
          <w:lang w:val="sr-Latn-BA"/>
        </w:rPr>
        <w:t xml:space="preserve"> jednom u toku mjeseca</w:t>
      </w:r>
      <w:r>
        <w:rPr>
          <w:rFonts w:ascii="Tahoma" w:eastAsia="Calibri" w:hAnsi="Tahoma" w:cs="Tahoma"/>
          <w:sz w:val="24"/>
          <w:szCs w:val="24"/>
          <w:lang w:val="sr-Latn-BA"/>
        </w:rPr>
        <w:t xml:space="preserve"> viđa sa svojojm tetkom XX</w:t>
      </w:r>
      <w:r w:rsidRPr="00840A2F">
        <w:rPr>
          <w:rFonts w:ascii="Tahoma" w:eastAsia="Calibri" w:hAnsi="Tahoma" w:cs="Tahoma"/>
          <w:sz w:val="24"/>
          <w:szCs w:val="24"/>
          <w:lang w:val="sr-Latn-BA"/>
        </w:rPr>
        <w:t>; da je reg</w:t>
      </w:r>
      <w:r>
        <w:rPr>
          <w:rFonts w:ascii="Tahoma" w:eastAsia="Calibri" w:hAnsi="Tahoma" w:cs="Tahoma"/>
          <w:sz w:val="24"/>
          <w:szCs w:val="24"/>
          <w:lang w:val="sr-Latn-BA"/>
        </w:rPr>
        <w:t>ulisano prvo viđanje mal. XX</w:t>
      </w:r>
      <w:r w:rsidRPr="00840A2F">
        <w:rPr>
          <w:rFonts w:ascii="Tahoma" w:eastAsia="Calibri" w:hAnsi="Tahoma" w:cs="Tahoma"/>
          <w:sz w:val="24"/>
          <w:szCs w:val="24"/>
          <w:lang w:val="sr-Latn-BA"/>
        </w:rPr>
        <w:t xml:space="preserve"> sa tetkom koje je realizovano dana 08.12.12019</w:t>
      </w:r>
      <w:r>
        <w:rPr>
          <w:rFonts w:ascii="Tahoma" w:eastAsia="Calibri" w:hAnsi="Tahoma" w:cs="Tahoma"/>
          <w:sz w:val="24"/>
          <w:szCs w:val="24"/>
          <w:lang w:val="sr-Latn-BA"/>
        </w:rPr>
        <w:t>. godine; da je baba mal. XX</w:t>
      </w:r>
      <w:r w:rsidRPr="00840A2F">
        <w:rPr>
          <w:rFonts w:ascii="Tahoma" w:eastAsia="Calibri" w:hAnsi="Tahoma" w:cs="Tahoma"/>
          <w:sz w:val="24"/>
          <w:szCs w:val="24"/>
          <w:lang w:val="sr-Latn-BA"/>
        </w:rPr>
        <w:t>, koja živi u Nikšiću pokrenula postupak pred sudom radi regulisanja odnosa</w:t>
      </w:r>
      <w:r>
        <w:rPr>
          <w:rFonts w:ascii="Tahoma" w:eastAsia="Calibri" w:hAnsi="Tahoma" w:cs="Tahoma"/>
          <w:sz w:val="24"/>
          <w:szCs w:val="24"/>
          <w:lang w:val="sr-Latn-BA"/>
        </w:rPr>
        <w:t xml:space="preserve"> viđanja sa unukom, mal. XX</w:t>
      </w:r>
      <w:r w:rsidRPr="00840A2F">
        <w:rPr>
          <w:rFonts w:ascii="Tahoma" w:eastAsia="Calibri" w:hAnsi="Tahoma" w:cs="Tahoma"/>
          <w:sz w:val="24"/>
          <w:szCs w:val="24"/>
          <w:lang w:val="sr-Latn-BA"/>
        </w:rPr>
        <w:t>.</w:t>
      </w:r>
    </w:p>
    <w:p w:rsidR="00840A2F" w:rsidRPr="00840A2F" w:rsidRDefault="00840A2F" w:rsidP="00840A2F">
      <w:pPr>
        <w:spacing w:after="0" w:line="276" w:lineRule="auto"/>
        <w:jc w:val="both"/>
        <w:rPr>
          <w:rFonts w:ascii="Tahoma" w:eastAsia="Calibri" w:hAnsi="Tahoma" w:cs="Tahoma"/>
          <w:sz w:val="24"/>
          <w:szCs w:val="24"/>
          <w:lang w:val="sr-Latn-BA"/>
        </w:rPr>
      </w:pPr>
      <w:r w:rsidRPr="00840A2F">
        <w:rPr>
          <w:rFonts w:ascii="Tahoma" w:eastAsia="Calibri" w:hAnsi="Tahoma" w:cs="Tahoma"/>
          <w:sz w:val="24"/>
          <w:szCs w:val="24"/>
          <w:lang w:val="sr-Latn-BA"/>
        </w:rPr>
        <w:t>Na pitanje kontrolora, po kom pravnom osnovu su prosljeđen</w:t>
      </w:r>
      <w:r>
        <w:rPr>
          <w:rFonts w:ascii="Tahoma" w:eastAsia="Calibri" w:hAnsi="Tahoma" w:cs="Tahoma"/>
          <w:sz w:val="24"/>
          <w:szCs w:val="24"/>
          <w:lang w:val="sr-Latn-BA"/>
        </w:rPr>
        <w:t>i lični podaci XX</w:t>
      </w:r>
      <w:r w:rsidRPr="00840A2F">
        <w:rPr>
          <w:rFonts w:ascii="Tahoma" w:eastAsia="Calibri" w:hAnsi="Tahoma" w:cs="Tahoma"/>
          <w:sz w:val="24"/>
          <w:szCs w:val="24"/>
          <w:lang w:val="sr-Latn-BA"/>
        </w:rPr>
        <w:t xml:space="preserve"> u CC mailu njenoj direktorici, nadzoru prisutni odgovaraju: „da su odnosi između oca djevojčice i rođaka sa majčine strane</w:t>
      </w:r>
      <w:r>
        <w:rPr>
          <w:rFonts w:ascii="Tahoma" w:eastAsia="Calibri" w:hAnsi="Tahoma" w:cs="Tahoma"/>
          <w:sz w:val="24"/>
          <w:szCs w:val="24"/>
          <w:lang w:val="sr-Latn-BA"/>
        </w:rPr>
        <w:t xml:space="preserve"> poremećeni, a kako je XX</w:t>
      </w:r>
      <w:r w:rsidRPr="00840A2F">
        <w:rPr>
          <w:rFonts w:ascii="Tahoma" w:eastAsia="Calibri" w:hAnsi="Tahoma" w:cs="Tahoma"/>
          <w:sz w:val="24"/>
          <w:szCs w:val="24"/>
          <w:lang w:val="sr-Latn-BA"/>
        </w:rPr>
        <w:t xml:space="preserve"> prebivalište u Podgorici, mjesno je nadležan Centar u Podgorici i isti mora da jača kapacitete kako bi se prevazišli problemi vezani za odnose, a sve u najboljem interesu djeteta, u tom pravcu se i odvijala pisana korespodencija sa JU Centrom u Podgorici.“ </w:t>
      </w:r>
    </w:p>
    <w:p w:rsidR="00840A2F" w:rsidRPr="00840A2F" w:rsidRDefault="00840A2F" w:rsidP="00840A2F">
      <w:pPr>
        <w:spacing w:after="0" w:line="276" w:lineRule="auto"/>
        <w:jc w:val="both"/>
        <w:rPr>
          <w:rFonts w:ascii="Arial" w:eastAsia="Calibri" w:hAnsi="Arial" w:cs="Arial"/>
          <w:sz w:val="24"/>
          <w:szCs w:val="24"/>
          <w:lang w:val="sr-Latn-BA"/>
        </w:rPr>
      </w:pPr>
      <w:r w:rsidRPr="00840A2F">
        <w:rPr>
          <w:rFonts w:ascii="Tahoma" w:eastAsia="Calibri" w:hAnsi="Tahoma" w:cs="Tahoma"/>
          <w:sz w:val="24"/>
          <w:szCs w:val="24"/>
          <w:lang w:val="sr-Latn-BA"/>
        </w:rPr>
        <w:t xml:space="preserve">Zapisnikom  o izvršenom nadzoru br.05-18-9710-5/19 od 23.12.2019. je, između ostalog, konstatovano sljedeće: </w:t>
      </w:r>
      <w:r w:rsidRPr="00840A2F">
        <w:rPr>
          <w:rFonts w:ascii="Arial" w:eastAsia="Calibri" w:hAnsi="Arial" w:cs="Arial"/>
          <w:sz w:val="24"/>
          <w:szCs w:val="24"/>
          <w:lang w:val="sr-Latn-ME"/>
        </w:rPr>
        <w:t>JU Centar za socijalni rad za opštine Kotor, Tivat i Budva, PJ Budva dana, 22.10.2018. godine preuzeo je spise predmeta od JU Centra za socijalni rad Podgorica, shodno odredbi č</w:t>
      </w:r>
      <w:r w:rsidRPr="00840A2F">
        <w:rPr>
          <w:rFonts w:ascii="Arial" w:eastAsia="Calibri" w:hAnsi="Arial" w:cs="Arial"/>
          <w:sz w:val="24"/>
          <w:szCs w:val="24"/>
        </w:rPr>
        <w:t>lana</w:t>
      </w:r>
      <w:r w:rsidRPr="00840A2F">
        <w:rPr>
          <w:rFonts w:ascii="Arial" w:eastAsia="Calibri" w:hAnsi="Arial" w:cs="Arial"/>
          <w:sz w:val="24"/>
          <w:szCs w:val="24"/>
          <w:lang w:val="sr-Latn-ME"/>
        </w:rPr>
        <w:t xml:space="preserve"> 75 </w:t>
      </w:r>
      <w:r w:rsidRPr="00840A2F">
        <w:rPr>
          <w:rFonts w:ascii="Arial" w:eastAsia="Calibri" w:hAnsi="Arial" w:cs="Arial"/>
          <w:sz w:val="24"/>
          <w:szCs w:val="24"/>
        </w:rPr>
        <w:t>stav</w:t>
      </w:r>
      <w:r w:rsidRPr="00840A2F">
        <w:rPr>
          <w:rFonts w:ascii="Arial" w:eastAsia="Calibri" w:hAnsi="Arial" w:cs="Arial"/>
          <w:sz w:val="24"/>
          <w:szCs w:val="24"/>
          <w:lang w:val="sr-Latn-ME"/>
        </w:rPr>
        <w:t xml:space="preserve"> 2 Zakona o socijalnoj zaštiti koji propisuje da </w:t>
      </w:r>
      <w:r w:rsidRPr="00840A2F">
        <w:rPr>
          <w:rFonts w:ascii="Arial" w:eastAsia="Calibri" w:hAnsi="Arial" w:cs="Arial"/>
          <w:sz w:val="24"/>
          <w:szCs w:val="24"/>
        </w:rPr>
        <w:t>ako</w:t>
      </w:r>
      <w:r w:rsidRPr="00840A2F">
        <w:rPr>
          <w:rFonts w:ascii="Arial" w:eastAsia="Calibri" w:hAnsi="Arial" w:cs="Arial"/>
          <w:sz w:val="24"/>
          <w:szCs w:val="24"/>
          <w:lang w:val="sr-Latn-ME"/>
        </w:rPr>
        <w:t xml:space="preserve"> </w:t>
      </w:r>
      <w:r w:rsidRPr="00840A2F">
        <w:rPr>
          <w:rFonts w:ascii="Arial" w:eastAsia="Calibri" w:hAnsi="Arial" w:cs="Arial"/>
          <w:sz w:val="24"/>
          <w:szCs w:val="24"/>
        </w:rPr>
        <w:t>korisnik</w:t>
      </w:r>
      <w:r w:rsidRPr="00840A2F">
        <w:rPr>
          <w:rFonts w:ascii="Arial" w:eastAsia="Calibri" w:hAnsi="Arial" w:cs="Arial"/>
          <w:sz w:val="24"/>
          <w:szCs w:val="24"/>
          <w:lang w:val="sr-Latn-ME"/>
        </w:rPr>
        <w:t xml:space="preserve"> </w:t>
      </w:r>
      <w:r w:rsidRPr="00840A2F">
        <w:rPr>
          <w:rFonts w:ascii="Arial" w:eastAsia="Calibri" w:hAnsi="Arial" w:cs="Arial"/>
          <w:sz w:val="24"/>
          <w:szCs w:val="24"/>
        </w:rPr>
        <w:t>promijeni</w:t>
      </w:r>
      <w:r w:rsidRPr="00840A2F">
        <w:rPr>
          <w:rFonts w:ascii="Arial" w:eastAsia="Calibri" w:hAnsi="Arial" w:cs="Arial"/>
          <w:sz w:val="24"/>
          <w:szCs w:val="24"/>
          <w:lang w:val="sr-Latn-ME"/>
        </w:rPr>
        <w:t xml:space="preserve"> </w:t>
      </w:r>
      <w:r w:rsidRPr="00840A2F">
        <w:rPr>
          <w:rFonts w:ascii="Arial" w:eastAsia="Calibri" w:hAnsi="Arial" w:cs="Arial"/>
          <w:sz w:val="24"/>
          <w:szCs w:val="24"/>
        </w:rPr>
        <w:t>prebivali</w:t>
      </w:r>
      <w:r w:rsidRPr="00840A2F">
        <w:rPr>
          <w:rFonts w:ascii="Arial" w:eastAsia="Calibri" w:hAnsi="Arial" w:cs="Arial"/>
          <w:sz w:val="24"/>
          <w:szCs w:val="24"/>
          <w:lang w:val="sr-Latn-ME"/>
        </w:rPr>
        <w:t>š</w:t>
      </w:r>
      <w:r w:rsidRPr="00840A2F">
        <w:rPr>
          <w:rFonts w:ascii="Arial" w:eastAsia="Calibri" w:hAnsi="Arial" w:cs="Arial"/>
          <w:sz w:val="24"/>
          <w:szCs w:val="24"/>
        </w:rPr>
        <w:t>te</w:t>
      </w:r>
      <w:r w:rsidRPr="00840A2F">
        <w:rPr>
          <w:rFonts w:ascii="Arial" w:eastAsia="Calibri" w:hAnsi="Arial" w:cs="Arial"/>
          <w:sz w:val="24"/>
          <w:szCs w:val="24"/>
          <w:lang w:val="sr-Latn-ME"/>
        </w:rPr>
        <w:t xml:space="preserve">, </w:t>
      </w:r>
      <w:r w:rsidRPr="00840A2F">
        <w:rPr>
          <w:rFonts w:ascii="Arial" w:eastAsia="Calibri" w:hAnsi="Arial" w:cs="Arial"/>
          <w:sz w:val="24"/>
          <w:szCs w:val="24"/>
        </w:rPr>
        <w:t>odnosno</w:t>
      </w:r>
      <w:r w:rsidRPr="00840A2F">
        <w:rPr>
          <w:rFonts w:ascii="Arial" w:eastAsia="Calibri" w:hAnsi="Arial" w:cs="Arial"/>
          <w:sz w:val="24"/>
          <w:szCs w:val="24"/>
          <w:lang w:val="sr-Latn-ME"/>
        </w:rPr>
        <w:t xml:space="preserve"> </w:t>
      </w:r>
      <w:r w:rsidRPr="00840A2F">
        <w:rPr>
          <w:rFonts w:ascii="Arial" w:eastAsia="Calibri" w:hAnsi="Arial" w:cs="Arial"/>
          <w:sz w:val="24"/>
          <w:szCs w:val="24"/>
        </w:rPr>
        <w:t>boravi</w:t>
      </w:r>
      <w:r w:rsidRPr="00840A2F">
        <w:rPr>
          <w:rFonts w:ascii="Arial" w:eastAsia="Calibri" w:hAnsi="Arial" w:cs="Arial"/>
          <w:sz w:val="24"/>
          <w:szCs w:val="24"/>
          <w:lang w:val="sr-Latn-ME"/>
        </w:rPr>
        <w:t>š</w:t>
      </w:r>
      <w:r w:rsidRPr="00840A2F">
        <w:rPr>
          <w:rFonts w:ascii="Arial" w:eastAsia="Calibri" w:hAnsi="Arial" w:cs="Arial"/>
          <w:sz w:val="24"/>
          <w:szCs w:val="24"/>
        </w:rPr>
        <w:t>te</w:t>
      </w:r>
      <w:r w:rsidRPr="00840A2F">
        <w:rPr>
          <w:rFonts w:ascii="Arial" w:eastAsia="Calibri" w:hAnsi="Arial" w:cs="Arial"/>
          <w:sz w:val="24"/>
          <w:szCs w:val="24"/>
          <w:lang w:val="sr-Latn-ME"/>
        </w:rPr>
        <w:t xml:space="preserve"> </w:t>
      </w:r>
      <w:r w:rsidRPr="00840A2F">
        <w:rPr>
          <w:rFonts w:ascii="Arial" w:eastAsia="Calibri" w:hAnsi="Arial" w:cs="Arial"/>
          <w:sz w:val="24"/>
          <w:szCs w:val="24"/>
        </w:rPr>
        <w:t>centar</w:t>
      </w:r>
      <w:r w:rsidRPr="00840A2F">
        <w:rPr>
          <w:rFonts w:ascii="Arial" w:eastAsia="Calibri" w:hAnsi="Arial" w:cs="Arial"/>
          <w:sz w:val="24"/>
          <w:szCs w:val="24"/>
          <w:lang w:val="sr-Latn-ME"/>
        </w:rPr>
        <w:t xml:space="preserve"> </w:t>
      </w:r>
      <w:r w:rsidRPr="00840A2F">
        <w:rPr>
          <w:rFonts w:ascii="Arial" w:eastAsia="Calibri" w:hAnsi="Arial" w:cs="Arial"/>
          <w:sz w:val="24"/>
          <w:szCs w:val="24"/>
        </w:rPr>
        <w:t>za</w:t>
      </w:r>
      <w:r w:rsidRPr="00840A2F">
        <w:rPr>
          <w:rFonts w:ascii="Arial" w:eastAsia="Calibri" w:hAnsi="Arial" w:cs="Arial"/>
          <w:sz w:val="24"/>
          <w:szCs w:val="24"/>
          <w:lang w:val="sr-Latn-ME"/>
        </w:rPr>
        <w:t xml:space="preserve"> </w:t>
      </w:r>
      <w:r w:rsidRPr="00840A2F">
        <w:rPr>
          <w:rFonts w:ascii="Arial" w:eastAsia="Calibri" w:hAnsi="Arial" w:cs="Arial"/>
          <w:sz w:val="24"/>
          <w:szCs w:val="24"/>
        </w:rPr>
        <w:t>socijalni</w:t>
      </w:r>
      <w:r w:rsidRPr="00840A2F">
        <w:rPr>
          <w:rFonts w:ascii="Arial" w:eastAsia="Calibri" w:hAnsi="Arial" w:cs="Arial"/>
          <w:sz w:val="24"/>
          <w:szCs w:val="24"/>
          <w:lang w:val="sr-Latn-ME"/>
        </w:rPr>
        <w:t xml:space="preserve"> </w:t>
      </w:r>
      <w:r w:rsidRPr="00840A2F">
        <w:rPr>
          <w:rFonts w:ascii="Arial" w:eastAsia="Calibri" w:hAnsi="Arial" w:cs="Arial"/>
          <w:sz w:val="24"/>
          <w:szCs w:val="24"/>
        </w:rPr>
        <w:t>rad</w:t>
      </w:r>
      <w:r w:rsidRPr="00840A2F">
        <w:rPr>
          <w:rFonts w:ascii="Arial" w:eastAsia="Calibri" w:hAnsi="Arial" w:cs="Arial"/>
          <w:sz w:val="24"/>
          <w:szCs w:val="24"/>
          <w:lang w:val="sr-Latn-ME"/>
        </w:rPr>
        <w:t xml:space="preserve"> </w:t>
      </w:r>
      <w:r w:rsidRPr="00840A2F">
        <w:rPr>
          <w:rFonts w:ascii="Arial" w:eastAsia="Calibri" w:hAnsi="Arial" w:cs="Arial"/>
          <w:sz w:val="24"/>
          <w:szCs w:val="24"/>
        </w:rPr>
        <w:t>je</w:t>
      </w:r>
      <w:r w:rsidRPr="00840A2F">
        <w:rPr>
          <w:rFonts w:ascii="Arial" w:eastAsia="Calibri" w:hAnsi="Arial" w:cs="Arial"/>
          <w:sz w:val="24"/>
          <w:szCs w:val="24"/>
          <w:lang w:val="sr-Latn-ME"/>
        </w:rPr>
        <w:t xml:space="preserve"> </w:t>
      </w:r>
      <w:r w:rsidRPr="00840A2F">
        <w:rPr>
          <w:rFonts w:ascii="Arial" w:eastAsia="Calibri" w:hAnsi="Arial" w:cs="Arial"/>
          <w:sz w:val="24"/>
          <w:szCs w:val="24"/>
        </w:rPr>
        <w:t>du</w:t>
      </w:r>
      <w:r w:rsidRPr="00840A2F">
        <w:rPr>
          <w:rFonts w:ascii="Arial" w:eastAsia="Calibri" w:hAnsi="Arial" w:cs="Arial"/>
          <w:sz w:val="24"/>
          <w:szCs w:val="24"/>
          <w:lang w:val="sr-Latn-ME"/>
        </w:rPr>
        <w:t>ž</w:t>
      </w:r>
      <w:r w:rsidRPr="00840A2F">
        <w:rPr>
          <w:rFonts w:ascii="Arial" w:eastAsia="Calibri" w:hAnsi="Arial" w:cs="Arial"/>
          <w:sz w:val="24"/>
          <w:szCs w:val="24"/>
        </w:rPr>
        <w:t>an</w:t>
      </w:r>
      <w:r w:rsidRPr="00840A2F">
        <w:rPr>
          <w:rFonts w:ascii="Arial" w:eastAsia="Calibri" w:hAnsi="Arial" w:cs="Arial"/>
          <w:sz w:val="24"/>
          <w:szCs w:val="24"/>
          <w:lang w:val="sr-Latn-ME"/>
        </w:rPr>
        <w:t xml:space="preserve"> </w:t>
      </w:r>
      <w:r w:rsidRPr="00840A2F">
        <w:rPr>
          <w:rFonts w:ascii="Arial" w:eastAsia="Calibri" w:hAnsi="Arial" w:cs="Arial"/>
          <w:sz w:val="24"/>
          <w:szCs w:val="24"/>
        </w:rPr>
        <w:t>da</w:t>
      </w:r>
      <w:r w:rsidRPr="00840A2F">
        <w:rPr>
          <w:rFonts w:ascii="Arial" w:eastAsia="Calibri" w:hAnsi="Arial" w:cs="Arial"/>
          <w:sz w:val="24"/>
          <w:szCs w:val="24"/>
          <w:lang w:val="sr-Latn-ME"/>
        </w:rPr>
        <w:t xml:space="preserve">, </w:t>
      </w:r>
      <w:r w:rsidRPr="00840A2F">
        <w:rPr>
          <w:rFonts w:ascii="Arial" w:eastAsia="Calibri" w:hAnsi="Arial" w:cs="Arial"/>
          <w:sz w:val="24"/>
          <w:szCs w:val="24"/>
        </w:rPr>
        <w:t>bez</w:t>
      </w:r>
      <w:r w:rsidRPr="00840A2F">
        <w:rPr>
          <w:rFonts w:ascii="Arial" w:eastAsia="Calibri" w:hAnsi="Arial" w:cs="Arial"/>
          <w:sz w:val="24"/>
          <w:szCs w:val="24"/>
          <w:lang w:val="sr-Latn-ME"/>
        </w:rPr>
        <w:t xml:space="preserve"> </w:t>
      </w:r>
      <w:r w:rsidRPr="00840A2F">
        <w:rPr>
          <w:rFonts w:ascii="Arial" w:eastAsia="Calibri" w:hAnsi="Arial" w:cs="Arial"/>
          <w:sz w:val="24"/>
          <w:szCs w:val="24"/>
        </w:rPr>
        <w:t>odlaganja</w:t>
      </w:r>
      <w:r w:rsidRPr="00840A2F">
        <w:rPr>
          <w:rFonts w:ascii="Arial" w:eastAsia="Calibri" w:hAnsi="Arial" w:cs="Arial"/>
          <w:sz w:val="24"/>
          <w:szCs w:val="24"/>
          <w:lang w:val="sr-Latn-ME"/>
        </w:rPr>
        <w:t xml:space="preserve">, </w:t>
      </w:r>
      <w:r w:rsidRPr="00840A2F">
        <w:rPr>
          <w:rFonts w:ascii="Arial" w:eastAsia="Calibri" w:hAnsi="Arial" w:cs="Arial"/>
          <w:sz w:val="24"/>
          <w:szCs w:val="24"/>
        </w:rPr>
        <w:t>dostavi</w:t>
      </w:r>
      <w:r w:rsidRPr="00840A2F">
        <w:rPr>
          <w:rFonts w:ascii="Arial" w:eastAsia="Calibri" w:hAnsi="Arial" w:cs="Arial"/>
          <w:sz w:val="24"/>
          <w:szCs w:val="24"/>
          <w:lang w:val="sr-Latn-ME"/>
        </w:rPr>
        <w:t xml:space="preserve"> </w:t>
      </w:r>
      <w:r w:rsidRPr="00840A2F">
        <w:rPr>
          <w:rFonts w:ascii="Arial" w:eastAsia="Calibri" w:hAnsi="Arial" w:cs="Arial"/>
          <w:sz w:val="24"/>
          <w:szCs w:val="24"/>
        </w:rPr>
        <w:t>spise</w:t>
      </w:r>
      <w:r w:rsidRPr="00840A2F">
        <w:rPr>
          <w:rFonts w:ascii="Arial" w:eastAsia="Calibri" w:hAnsi="Arial" w:cs="Arial"/>
          <w:sz w:val="24"/>
          <w:szCs w:val="24"/>
          <w:lang w:val="sr-Latn-ME"/>
        </w:rPr>
        <w:t xml:space="preserve"> </w:t>
      </w:r>
      <w:r w:rsidRPr="00840A2F">
        <w:rPr>
          <w:rFonts w:ascii="Arial" w:eastAsia="Calibri" w:hAnsi="Arial" w:cs="Arial"/>
          <w:sz w:val="24"/>
          <w:szCs w:val="24"/>
        </w:rPr>
        <w:t>predmeta</w:t>
      </w:r>
      <w:r w:rsidRPr="00840A2F">
        <w:rPr>
          <w:rFonts w:ascii="Arial" w:eastAsia="Calibri" w:hAnsi="Arial" w:cs="Arial"/>
          <w:sz w:val="24"/>
          <w:szCs w:val="24"/>
          <w:lang w:val="sr-Latn-ME"/>
        </w:rPr>
        <w:t xml:space="preserve"> </w:t>
      </w:r>
      <w:r w:rsidRPr="00840A2F">
        <w:rPr>
          <w:rFonts w:ascii="Arial" w:eastAsia="Calibri" w:hAnsi="Arial" w:cs="Arial"/>
          <w:sz w:val="24"/>
          <w:szCs w:val="24"/>
        </w:rPr>
        <w:t>centru</w:t>
      </w:r>
      <w:r w:rsidRPr="00840A2F">
        <w:rPr>
          <w:rFonts w:ascii="Arial" w:eastAsia="Calibri" w:hAnsi="Arial" w:cs="Arial"/>
          <w:sz w:val="24"/>
          <w:szCs w:val="24"/>
          <w:lang w:val="sr-Latn-ME"/>
        </w:rPr>
        <w:t xml:space="preserve"> </w:t>
      </w:r>
      <w:r w:rsidRPr="00840A2F">
        <w:rPr>
          <w:rFonts w:ascii="Arial" w:eastAsia="Calibri" w:hAnsi="Arial" w:cs="Arial"/>
          <w:sz w:val="24"/>
          <w:szCs w:val="24"/>
        </w:rPr>
        <w:t>za</w:t>
      </w:r>
      <w:r w:rsidRPr="00840A2F">
        <w:rPr>
          <w:rFonts w:ascii="Arial" w:eastAsia="Calibri" w:hAnsi="Arial" w:cs="Arial"/>
          <w:sz w:val="24"/>
          <w:szCs w:val="24"/>
          <w:lang w:val="sr-Latn-ME"/>
        </w:rPr>
        <w:t xml:space="preserve"> </w:t>
      </w:r>
      <w:r w:rsidRPr="00840A2F">
        <w:rPr>
          <w:rFonts w:ascii="Arial" w:eastAsia="Calibri" w:hAnsi="Arial" w:cs="Arial"/>
          <w:sz w:val="24"/>
          <w:szCs w:val="24"/>
        </w:rPr>
        <w:t>socijalni</w:t>
      </w:r>
      <w:r w:rsidRPr="00840A2F">
        <w:rPr>
          <w:rFonts w:ascii="Arial" w:eastAsia="Calibri" w:hAnsi="Arial" w:cs="Arial"/>
          <w:sz w:val="24"/>
          <w:szCs w:val="24"/>
          <w:lang w:val="sr-Latn-ME"/>
        </w:rPr>
        <w:t xml:space="preserve"> </w:t>
      </w:r>
      <w:r w:rsidRPr="00840A2F">
        <w:rPr>
          <w:rFonts w:ascii="Arial" w:eastAsia="Calibri" w:hAnsi="Arial" w:cs="Arial"/>
          <w:sz w:val="24"/>
          <w:szCs w:val="24"/>
        </w:rPr>
        <w:t>rad</w:t>
      </w:r>
      <w:r w:rsidRPr="00840A2F">
        <w:rPr>
          <w:rFonts w:ascii="Arial" w:eastAsia="Calibri" w:hAnsi="Arial" w:cs="Arial"/>
          <w:sz w:val="24"/>
          <w:szCs w:val="24"/>
          <w:lang w:val="sr-Latn-ME"/>
        </w:rPr>
        <w:t xml:space="preserve"> </w:t>
      </w:r>
      <w:r w:rsidRPr="00840A2F">
        <w:rPr>
          <w:rFonts w:ascii="Arial" w:eastAsia="Calibri" w:hAnsi="Arial" w:cs="Arial"/>
          <w:sz w:val="24"/>
          <w:szCs w:val="24"/>
        </w:rPr>
        <w:t>nadle</w:t>
      </w:r>
      <w:r w:rsidRPr="00840A2F">
        <w:rPr>
          <w:rFonts w:ascii="Arial" w:eastAsia="Calibri" w:hAnsi="Arial" w:cs="Arial"/>
          <w:sz w:val="24"/>
          <w:szCs w:val="24"/>
          <w:lang w:val="sr-Latn-ME"/>
        </w:rPr>
        <w:t>ž</w:t>
      </w:r>
      <w:r w:rsidRPr="00840A2F">
        <w:rPr>
          <w:rFonts w:ascii="Arial" w:eastAsia="Calibri" w:hAnsi="Arial" w:cs="Arial"/>
          <w:sz w:val="24"/>
          <w:szCs w:val="24"/>
        </w:rPr>
        <w:t>nom</w:t>
      </w:r>
      <w:r w:rsidRPr="00840A2F">
        <w:rPr>
          <w:rFonts w:ascii="Arial" w:eastAsia="Calibri" w:hAnsi="Arial" w:cs="Arial"/>
          <w:sz w:val="24"/>
          <w:szCs w:val="24"/>
          <w:lang w:val="sr-Latn-ME"/>
        </w:rPr>
        <w:t xml:space="preserve"> </w:t>
      </w:r>
      <w:r w:rsidRPr="00840A2F">
        <w:rPr>
          <w:rFonts w:ascii="Arial" w:eastAsia="Calibri" w:hAnsi="Arial" w:cs="Arial"/>
          <w:sz w:val="24"/>
          <w:szCs w:val="24"/>
        </w:rPr>
        <w:t>prema</w:t>
      </w:r>
      <w:r w:rsidRPr="00840A2F">
        <w:rPr>
          <w:rFonts w:ascii="Arial" w:eastAsia="Calibri" w:hAnsi="Arial" w:cs="Arial"/>
          <w:sz w:val="24"/>
          <w:szCs w:val="24"/>
          <w:lang w:val="sr-Latn-ME"/>
        </w:rPr>
        <w:t xml:space="preserve"> </w:t>
      </w:r>
      <w:r w:rsidRPr="00840A2F">
        <w:rPr>
          <w:rFonts w:ascii="Arial" w:eastAsia="Calibri" w:hAnsi="Arial" w:cs="Arial"/>
          <w:sz w:val="24"/>
          <w:szCs w:val="24"/>
        </w:rPr>
        <w:t>mjestu</w:t>
      </w:r>
      <w:r w:rsidRPr="00840A2F">
        <w:rPr>
          <w:rFonts w:ascii="Arial" w:eastAsia="Calibri" w:hAnsi="Arial" w:cs="Arial"/>
          <w:sz w:val="24"/>
          <w:szCs w:val="24"/>
          <w:lang w:val="sr-Latn-ME"/>
        </w:rPr>
        <w:t xml:space="preserve"> </w:t>
      </w:r>
      <w:r w:rsidRPr="00840A2F">
        <w:rPr>
          <w:rFonts w:ascii="Arial" w:eastAsia="Calibri" w:hAnsi="Arial" w:cs="Arial"/>
          <w:sz w:val="24"/>
          <w:szCs w:val="24"/>
        </w:rPr>
        <w:t>prebivali</w:t>
      </w:r>
      <w:r w:rsidRPr="00840A2F">
        <w:rPr>
          <w:rFonts w:ascii="Arial" w:eastAsia="Calibri" w:hAnsi="Arial" w:cs="Arial"/>
          <w:sz w:val="24"/>
          <w:szCs w:val="24"/>
          <w:lang w:val="sr-Latn-ME"/>
        </w:rPr>
        <w:t>š</w:t>
      </w:r>
      <w:r w:rsidRPr="00840A2F">
        <w:rPr>
          <w:rFonts w:ascii="Arial" w:eastAsia="Calibri" w:hAnsi="Arial" w:cs="Arial"/>
          <w:sz w:val="24"/>
          <w:szCs w:val="24"/>
        </w:rPr>
        <w:t>ta</w:t>
      </w:r>
      <w:r w:rsidRPr="00840A2F">
        <w:rPr>
          <w:rFonts w:ascii="Arial" w:eastAsia="Calibri" w:hAnsi="Arial" w:cs="Arial"/>
          <w:sz w:val="24"/>
          <w:szCs w:val="24"/>
          <w:lang w:val="sr-Latn-ME"/>
        </w:rPr>
        <w:t xml:space="preserve">, </w:t>
      </w:r>
      <w:r w:rsidRPr="00840A2F">
        <w:rPr>
          <w:rFonts w:ascii="Arial" w:eastAsia="Calibri" w:hAnsi="Arial" w:cs="Arial"/>
          <w:sz w:val="24"/>
          <w:szCs w:val="24"/>
        </w:rPr>
        <w:t>odnosno</w:t>
      </w:r>
      <w:r w:rsidRPr="00840A2F">
        <w:rPr>
          <w:rFonts w:ascii="Arial" w:eastAsia="Calibri" w:hAnsi="Arial" w:cs="Arial"/>
          <w:sz w:val="24"/>
          <w:szCs w:val="24"/>
          <w:lang w:val="sr-Latn-ME"/>
        </w:rPr>
        <w:t xml:space="preserve"> </w:t>
      </w:r>
      <w:r w:rsidRPr="00840A2F">
        <w:rPr>
          <w:rFonts w:ascii="Arial" w:eastAsia="Calibri" w:hAnsi="Arial" w:cs="Arial"/>
          <w:sz w:val="24"/>
          <w:szCs w:val="24"/>
        </w:rPr>
        <w:t>boravi</w:t>
      </w:r>
      <w:r w:rsidRPr="00840A2F">
        <w:rPr>
          <w:rFonts w:ascii="Arial" w:eastAsia="Calibri" w:hAnsi="Arial" w:cs="Arial"/>
          <w:sz w:val="24"/>
          <w:szCs w:val="24"/>
          <w:lang w:val="sr-Latn-ME"/>
        </w:rPr>
        <w:t>š</w:t>
      </w:r>
      <w:r w:rsidRPr="00840A2F">
        <w:rPr>
          <w:rFonts w:ascii="Arial" w:eastAsia="Calibri" w:hAnsi="Arial" w:cs="Arial"/>
          <w:sz w:val="24"/>
          <w:szCs w:val="24"/>
        </w:rPr>
        <w:t>ta</w:t>
      </w:r>
      <w:r w:rsidRPr="00840A2F">
        <w:rPr>
          <w:rFonts w:ascii="Arial" w:eastAsia="Calibri" w:hAnsi="Arial" w:cs="Arial"/>
          <w:sz w:val="24"/>
          <w:szCs w:val="24"/>
          <w:lang w:val="sr-Latn-ME"/>
        </w:rPr>
        <w:t xml:space="preserve"> </w:t>
      </w:r>
      <w:r w:rsidRPr="00840A2F">
        <w:rPr>
          <w:rFonts w:ascii="Arial" w:eastAsia="Calibri" w:hAnsi="Arial" w:cs="Arial"/>
          <w:sz w:val="24"/>
          <w:szCs w:val="24"/>
        </w:rPr>
        <w:t>korisnika</w:t>
      </w:r>
      <w:r w:rsidRPr="00840A2F">
        <w:rPr>
          <w:rFonts w:ascii="Arial" w:eastAsia="Calibri" w:hAnsi="Arial" w:cs="Arial"/>
          <w:sz w:val="24"/>
          <w:szCs w:val="24"/>
          <w:lang w:val="sr-Latn-ME"/>
        </w:rPr>
        <w:t xml:space="preserve">. Članom 182 stav 2 Porodičnog zakona propisano je da organ starateljstva u pripremanju, donošenju i sprovođenju rješenja i pojedinih mjera koristi sve oblike socijalne zaštite, metode socijalnog i drugog stručnog </w:t>
      </w:r>
      <w:r w:rsidRPr="00840A2F">
        <w:rPr>
          <w:rFonts w:ascii="Arial" w:eastAsia="Calibri" w:hAnsi="Arial" w:cs="Arial"/>
          <w:sz w:val="24"/>
          <w:szCs w:val="24"/>
          <w:lang w:val="sr-Latn-ME"/>
        </w:rPr>
        <w:lastRenderedPageBreak/>
        <w:t>rada, kao i usluge socijalnih, zdravstvenih, vaspitno-obrazovnih i drugih organizacija i ustanova.</w:t>
      </w:r>
      <w:r w:rsidRPr="00840A2F">
        <w:rPr>
          <w:rFonts w:ascii="Tahoma" w:eastAsia="Calibri" w:hAnsi="Tahoma" w:cs="Tahoma"/>
          <w:sz w:val="24"/>
          <w:szCs w:val="24"/>
          <w:lang w:val="sr-Latn-BA"/>
        </w:rPr>
        <w:t xml:space="preserve"> </w:t>
      </w:r>
      <w:r w:rsidRPr="00840A2F">
        <w:rPr>
          <w:rFonts w:ascii="Arial" w:eastAsia="Calibri" w:hAnsi="Arial" w:cs="Arial"/>
          <w:sz w:val="24"/>
          <w:szCs w:val="24"/>
          <w:lang w:val="sr-Latn-ME"/>
        </w:rPr>
        <w:t xml:space="preserve">Članom 5 stav 6 Porodičnog zakona propisano je da </w:t>
      </w:r>
      <w:r w:rsidRPr="00840A2F">
        <w:rPr>
          <w:rFonts w:ascii="Arial" w:eastAsia="Calibri" w:hAnsi="Arial" w:cs="Arial"/>
          <w:sz w:val="24"/>
          <w:szCs w:val="24"/>
        </w:rPr>
        <w:t>u</w:t>
      </w:r>
      <w:r w:rsidRPr="00840A2F">
        <w:rPr>
          <w:rFonts w:ascii="Arial" w:eastAsia="Calibri" w:hAnsi="Arial" w:cs="Arial"/>
          <w:sz w:val="24"/>
          <w:szCs w:val="24"/>
          <w:lang w:val="sr-Latn-ME"/>
        </w:rPr>
        <w:t xml:space="preserve"> </w:t>
      </w:r>
      <w:r w:rsidRPr="00840A2F">
        <w:rPr>
          <w:rFonts w:ascii="Arial" w:eastAsia="Calibri" w:hAnsi="Arial" w:cs="Arial"/>
          <w:sz w:val="24"/>
          <w:szCs w:val="24"/>
        </w:rPr>
        <w:t>ostvarivanju</w:t>
      </w:r>
      <w:r w:rsidRPr="00840A2F">
        <w:rPr>
          <w:rFonts w:ascii="Arial" w:eastAsia="Calibri" w:hAnsi="Arial" w:cs="Arial"/>
          <w:sz w:val="24"/>
          <w:szCs w:val="24"/>
          <w:lang w:val="sr-Latn-ME"/>
        </w:rPr>
        <w:t xml:space="preserve">, </w:t>
      </w:r>
      <w:r w:rsidRPr="00840A2F">
        <w:rPr>
          <w:rFonts w:ascii="Arial" w:eastAsia="Calibri" w:hAnsi="Arial" w:cs="Arial"/>
          <w:sz w:val="24"/>
          <w:szCs w:val="24"/>
        </w:rPr>
        <w:t>unapre</w:t>
      </w:r>
      <w:r w:rsidRPr="00840A2F">
        <w:rPr>
          <w:rFonts w:ascii="Arial" w:eastAsia="Calibri" w:hAnsi="Arial" w:cs="Arial"/>
          <w:sz w:val="24"/>
          <w:szCs w:val="24"/>
          <w:lang w:val="sr-Latn-ME"/>
        </w:rPr>
        <w:t>đ</w:t>
      </w:r>
      <w:r w:rsidRPr="00840A2F">
        <w:rPr>
          <w:rFonts w:ascii="Arial" w:eastAsia="Calibri" w:hAnsi="Arial" w:cs="Arial"/>
          <w:sz w:val="24"/>
          <w:szCs w:val="24"/>
        </w:rPr>
        <w:t>ivanju</w:t>
      </w:r>
      <w:r w:rsidRPr="00840A2F">
        <w:rPr>
          <w:rFonts w:ascii="Arial" w:eastAsia="Calibri" w:hAnsi="Arial" w:cs="Arial"/>
          <w:sz w:val="24"/>
          <w:szCs w:val="24"/>
          <w:lang w:val="sr-Latn-ME"/>
        </w:rPr>
        <w:t xml:space="preserve"> </w:t>
      </w:r>
      <w:r w:rsidRPr="00840A2F">
        <w:rPr>
          <w:rFonts w:ascii="Arial" w:eastAsia="Calibri" w:hAnsi="Arial" w:cs="Arial"/>
          <w:sz w:val="24"/>
          <w:szCs w:val="24"/>
        </w:rPr>
        <w:t>i</w:t>
      </w:r>
      <w:r w:rsidRPr="00840A2F">
        <w:rPr>
          <w:rFonts w:ascii="Arial" w:eastAsia="Calibri" w:hAnsi="Arial" w:cs="Arial"/>
          <w:sz w:val="24"/>
          <w:szCs w:val="24"/>
          <w:lang w:val="sr-Latn-ME"/>
        </w:rPr>
        <w:t xml:space="preserve"> </w:t>
      </w:r>
      <w:r w:rsidRPr="00840A2F">
        <w:rPr>
          <w:rFonts w:ascii="Arial" w:eastAsia="Calibri" w:hAnsi="Arial" w:cs="Arial"/>
          <w:sz w:val="24"/>
          <w:szCs w:val="24"/>
        </w:rPr>
        <w:t>za</w:t>
      </w:r>
      <w:r w:rsidRPr="00840A2F">
        <w:rPr>
          <w:rFonts w:ascii="Arial" w:eastAsia="Calibri" w:hAnsi="Arial" w:cs="Arial"/>
          <w:sz w:val="24"/>
          <w:szCs w:val="24"/>
          <w:lang w:val="sr-Latn-ME"/>
        </w:rPr>
        <w:t>š</w:t>
      </w:r>
      <w:r w:rsidRPr="00840A2F">
        <w:rPr>
          <w:rFonts w:ascii="Arial" w:eastAsia="Calibri" w:hAnsi="Arial" w:cs="Arial"/>
          <w:sz w:val="24"/>
          <w:szCs w:val="24"/>
        </w:rPr>
        <w:t>titi</w:t>
      </w:r>
      <w:r w:rsidRPr="00840A2F">
        <w:rPr>
          <w:rFonts w:ascii="Arial" w:eastAsia="Calibri" w:hAnsi="Arial" w:cs="Arial"/>
          <w:sz w:val="24"/>
          <w:szCs w:val="24"/>
          <w:lang w:val="sr-Latn-ME"/>
        </w:rPr>
        <w:t xml:space="preserve"> </w:t>
      </w:r>
      <w:r w:rsidRPr="00840A2F">
        <w:rPr>
          <w:rFonts w:ascii="Arial" w:eastAsia="Calibri" w:hAnsi="Arial" w:cs="Arial"/>
          <w:sz w:val="24"/>
          <w:szCs w:val="24"/>
        </w:rPr>
        <w:t>prava</w:t>
      </w:r>
      <w:r w:rsidRPr="00840A2F">
        <w:rPr>
          <w:rFonts w:ascii="Arial" w:eastAsia="Calibri" w:hAnsi="Arial" w:cs="Arial"/>
          <w:sz w:val="24"/>
          <w:szCs w:val="24"/>
          <w:lang w:val="sr-Latn-ME"/>
        </w:rPr>
        <w:t xml:space="preserve"> </w:t>
      </w:r>
      <w:r w:rsidRPr="00840A2F">
        <w:rPr>
          <w:rFonts w:ascii="Arial" w:eastAsia="Calibri" w:hAnsi="Arial" w:cs="Arial"/>
          <w:sz w:val="24"/>
          <w:szCs w:val="24"/>
        </w:rPr>
        <w:t>djeteta</w:t>
      </w:r>
      <w:r w:rsidRPr="00840A2F">
        <w:rPr>
          <w:rFonts w:ascii="Arial" w:eastAsia="Calibri" w:hAnsi="Arial" w:cs="Arial"/>
          <w:sz w:val="24"/>
          <w:szCs w:val="24"/>
          <w:lang w:val="sr-Latn-ME"/>
        </w:rPr>
        <w:t xml:space="preserve"> </w:t>
      </w:r>
      <w:r w:rsidRPr="00840A2F">
        <w:rPr>
          <w:rFonts w:ascii="Arial" w:eastAsia="Calibri" w:hAnsi="Arial" w:cs="Arial"/>
          <w:sz w:val="24"/>
          <w:szCs w:val="24"/>
        </w:rPr>
        <w:t>nadle</w:t>
      </w:r>
      <w:r w:rsidRPr="00840A2F">
        <w:rPr>
          <w:rFonts w:ascii="Arial" w:eastAsia="Calibri" w:hAnsi="Arial" w:cs="Arial"/>
          <w:sz w:val="24"/>
          <w:szCs w:val="24"/>
          <w:lang w:val="sr-Latn-ME"/>
        </w:rPr>
        <w:t>ž</w:t>
      </w:r>
      <w:r w:rsidRPr="00840A2F">
        <w:rPr>
          <w:rFonts w:ascii="Arial" w:eastAsia="Calibri" w:hAnsi="Arial" w:cs="Arial"/>
          <w:sz w:val="24"/>
          <w:szCs w:val="24"/>
        </w:rPr>
        <w:t>ni</w:t>
      </w:r>
      <w:r w:rsidRPr="00840A2F">
        <w:rPr>
          <w:rFonts w:ascii="Arial" w:eastAsia="Calibri" w:hAnsi="Arial" w:cs="Arial"/>
          <w:sz w:val="24"/>
          <w:szCs w:val="24"/>
          <w:lang w:val="sr-Latn-ME"/>
        </w:rPr>
        <w:t xml:space="preserve"> </w:t>
      </w:r>
      <w:r w:rsidRPr="00840A2F">
        <w:rPr>
          <w:rFonts w:ascii="Arial" w:eastAsia="Calibri" w:hAnsi="Arial" w:cs="Arial"/>
          <w:sz w:val="24"/>
          <w:szCs w:val="24"/>
        </w:rPr>
        <w:t>organi</w:t>
      </w:r>
      <w:r w:rsidRPr="00840A2F">
        <w:rPr>
          <w:rFonts w:ascii="Arial" w:eastAsia="Calibri" w:hAnsi="Arial" w:cs="Arial"/>
          <w:sz w:val="24"/>
          <w:szCs w:val="24"/>
          <w:lang w:val="sr-Latn-ME"/>
        </w:rPr>
        <w:t xml:space="preserve">, </w:t>
      </w:r>
      <w:r w:rsidRPr="00840A2F">
        <w:rPr>
          <w:rFonts w:ascii="Arial" w:eastAsia="Calibri" w:hAnsi="Arial" w:cs="Arial"/>
          <w:sz w:val="24"/>
          <w:szCs w:val="24"/>
        </w:rPr>
        <w:t>ustanove</w:t>
      </w:r>
      <w:r w:rsidRPr="00840A2F">
        <w:rPr>
          <w:rFonts w:ascii="Arial" w:eastAsia="Calibri" w:hAnsi="Arial" w:cs="Arial"/>
          <w:sz w:val="24"/>
          <w:szCs w:val="24"/>
          <w:lang w:val="sr-Latn-ME"/>
        </w:rPr>
        <w:t xml:space="preserve">, </w:t>
      </w:r>
      <w:r w:rsidRPr="00840A2F">
        <w:rPr>
          <w:rFonts w:ascii="Arial" w:eastAsia="Calibri" w:hAnsi="Arial" w:cs="Arial"/>
          <w:sz w:val="24"/>
          <w:szCs w:val="24"/>
        </w:rPr>
        <w:t>javne</w:t>
      </w:r>
      <w:r w:rsidRPr="00840A2F">
        <w:rPr>
          <w:rFonts w:ascii="Arial" w:eastAsia="Calibri" w:hAnsi="Arial" w:cs="Arial"/>
          <w:sz w:val="24"/>
          <w:szCs w:val="24"/>
          <w:lang w:val="sr-Latn-ME"/>
        </w:rPr>
        <w:t xml:space="preserve"> </w:t>
      </w:r>
      <w:r w:rsidRPr="00840A2F">
        <w:rPr>
          <w:rFonts w:ascii="Arial" w:eastAsia="Calibri" w:hAnsi="Arial" w:cs="Arial"/>
          <w:sz w:val="24"/>
          <w:szCs w:val="24"/>
        </w:rPr>
        <w:t>slu</w:t>
      </w:r>
      <w:r w:rsidRPr="00840A2F">
        <w:rPr>
          <w:rFonts w:ascii="Arial" w:eastAsia="Calibri" w:hAnsi="Arial" w:cs="Arial"/>
          <w:sz w:val="24"/>
          <w:szCs w:val="24"/>
          <w:lang w:val="sr-Latn-ME"/>
        </w:rPr>
        <w:t>ž</w:t>
      </w:r>
      <w:r w:rsidRPr="00840A2F">
        <w:rPr>
          <w:rFonts w:ascii="Arial" w:eastAsia="Calibri" w:hAnsi="Arial" w:cs="Arial"/>
          <w:sz w:val="24"/>
          <w:szCs w:val="24"/>
        </w:rPr>
        <w:t>be</w:t>
      </w:r>
      <w:r w:rsidRPr="00840A2F">
        <w:rPr>
          <w:rFonts w:ascii="Arial" w:eastAsia="Calibri" w:hAnsi="Arial" w:cs="Arial"/>
          <w:sz w:val="24"/>
          <w:szCs w:val="24"/>
          <w:lang w:val="sr-Latn-ME"/>
        </w:rPr>
        <w:t xml:space="preserve"> </w:t>
      </w:r>
      <w:r w:rsidRPr="00840A2F">
        <w:rPr>
          <w:rFonts w:ascii="Arial" w:eastAsia="Calibri" w:hAnsi="Arial" w:cs="Arial"/>
          <w:sz w:val="24"/>
          <w:szCs w:val="24"/>
        </w:rPr>
        <w:t>i</w:t>
      </w:r>
      <w:r w:rsidRPr="00840A2F">
        <w:rPr>
          <w:rFonts w:ascii="Arial" w:eastAsia="Calibri" w:hAnsi="Arial" w:cs="Arial"/>
          <w:sz w:val="24"/>
          <w:szCs w:val="24"/>
          <w:lang w:val="sr-Latn-ME"/>
        </w:rPr>
        <w:t xml:space="preserve"> </w:t>
      </w:r>
      <w:r w:rsidRPr="00840A2F">
        <w:rPr>
          <w:rFonts w:ascii="Arial" w:eastAsia="Calibri" w:hAnsi="Arial" w:cs="Arial"/>
          <w:sz w:val="24"/>
          <w:szCs w:val="24"/>
        </w:rPr>
        <w:t>pojedinci</w:t>
      </w:r>
      <w:r w:rsidRPr="00840A2F">
        <w:rPr>
          <w:rFonts w:ascii="Arial" w:eastAsia="Calibri" w:hAnsi="Arial" w:cs="Arial"/>
          <w:sz w:val="24"/>
          <w:szCs w:val="24"/>
          <w:lang w:val="sr-Latn-ME"/>
        </w:rPr>
        <w:t xml:space="preserve"> </w:t>
      </w:r>
      <w:r w:rsidRPr="00840A2F">
        <w:rPr>
          <w:rFonts w:ascii="Arial" w:eastAsia="Calibri" w:hAnsi="Arial" w:cs="Arial"/>
          <w:sz w:val="24"/>
          <w:szCs w:val="24"/>
        </w:rPr>
        <w:t>du</w:t>
      </w:r>
      <w:r w:rsidRPr="00840A2F">
        <w:rPr>
          <w:rFonts w:ascii="Arial" w:eastAsia="Calibri" w:hAnsi="Arial" w:cs="Arial"/>
          <w:sz w:val="24"/>
          <w:szCs w:val="24"/>
          <w:lang w:val="sr-Latn-ME"/>
        </w:rPr>
        <w:t>ž</w:t>
      </w:r>
      <w:r w:rsidRPr="00840A2F">
        <w:rPr>
          <w:rFonts w:ascii="Arial" w:eastAsia="Calibri" w:hAnsi="Arial" w:cs="Arial"/>
          <w:sz w:val="24"/>
          <w:szCs w:val="24"/>
        </w:rPr>
        <w:t>ni</w:t>
      </w:r>
      <w:r w:rsidRPr="00840A2F">
        <w:rPr>
          <w:rFonts w:ascii="Arial" w:eastAsia="Calibri" w:hAnsi="Arial" w:cs="Arial"/>
          <w:sz w:val="24"/>
          <w:szCs w:val="24"/>
          <w:lang w:val="sr-Latn-ME"/>
        </w:rPr>
        <w:t xml:space="preserve"> </w:t>
      </w:r>
      <w:r w:rsidRPr="00840A2F">
        <w:rPr>
          <w:rFonts w:ascii="Arial" w:eastAsia="Calibri" w:hAnsi="Arial" w:cs="Arial"/>
          <w:sz w:val="24"/>
          <w:szCs w:val="24"/>
        </w:rPr>
        <w:t>su</w:t>
      </w:r>
      <w:r w:rsidRPr="00840A2F">
        <w:rPr>
          <w:rFonts w:ascii="Arial" w:eastAsia="Calibri" w:hAnsi="Arial" w:cs="Arial"/>
          <w:sz w:val="24"/>
          <w:szCs w:val="24"/>
          <w:lang w:val="sr-Latn-ME"/>
        </w:rPr>
        <w:t xml:space="preserve"> </w:t>
      </w:r>
      <w:r w:rsidRPr="00840A2F">
        <w:rPr>
          <w:rFonts w:ascii="Arial" w:eastAsia="Calibri" w:hAnsi="Arial" w:cs="Arial"/>
          <w:sz w:val="24"/>
          <w:szCs w:val="24"/>
        </w:rPr>
        <w:t>da</w:t>
      </w:r>
      <w:r w:rsidRPr="00840A2F">
        <w:rPr>
          <w:rFonts w:ascii="Arial" w:eastAsia="Calibri" w:hAnsi="Arial" w:cs="Arial"/>
          <w:sz w:val="24"/>
          <w:szCs w:val="24"/>
          <w:lang w:val="sr-Latn-ME"/>
        </w:rPr>
        <w:t xml:space="preserve"> </w:t>
      </w:r>
      <w:r w:rsidRPr="00840A2F">
        <w:rPr>
          <w:rFonts w:ascii="Arial" w:eastAsia="Calibri" w:hAnsi="Arial" w:cs="Arial"/>
          <w:sz w:val="24"/>
          <w:szCs w:val="24"/>
        </w:rPr>
        <w:t>me</w:t>
      </w:r>
      <w:r w:rsidRPr="00840A2F">
        <w:rPr>
          <w:rFonts w:ascii="Arial" w:eastAsia="Calibri" w:hAnsi="Arial" w:cs="Arial"/>
          <w:sz w:val="24"/>
          <w:szCs w:val="24"/>
          <w:lang w:val="sr-Latn-ME"/>
        </w:rPr>
        <w:t>đ</w:t>
      </w:r>
      <w:r w:rsidRPr="00840A2F">
        <w:rPr>
          <w:rFonts w:ascii="Arial" w:eastAsia="Calibri" w:hAnsi="Arial" w:cs="Arial"/>
          <w:sz w:val="24"/>
          <w:szCs w:val="24"/>
        </w:rPr>
        <w:t>usobno</w:t>
      </w:r>
      <w:r w:rsidRPr="00840A2F">
        <w:rPr>
          <w:rFonts w:ascii="Arial" w:eastAsia="Calibri" w:hAnsi="Arial" w:cs="Arial"/>
          <w:sz w:val="24"/>
          <w:szCs w:val="24"/>
          <w:lang w:val="sr-Latn-ME"/>
        </w:rPr>
        <w:t xml:space="preserve"> </w:t>
      </w:r>
      <w:r w:rsidRPr="00840A2F">
        <w:rPr>
          <w:rFonts w:ascii="Arial" w:eastAsia="Calibri" w:hAnsi="Arial" w:cs="Arial"/>
          <w:sz w:val="24"/>
          <w:szCs w:val="24"/>
        </w:rPr>
        <w:t>sara</w:t>
      </w:r>
      <w:r w:rsidRPr="00840A2F">
        <w:rPr>
          <w:rFonts w:ascii="Arial" w:eastAsia="Calibri" w:hAnsi="Arial" w:cs="Arial"/>
          <w:sz w:val="24"/>
          <w:szCs w:val="24"/>
          <w:lang w:val="sr-Latn-ME"/>
        </w:rPr>
        <w:t>đ</w:t>
      </w:r>
      <w:r w:rsidRPr="00840A2F">
        <w:rPr>
          <w:rFonts w:ascii="Arial" w:eastAsia="Calibri" w:hAnsi="Arial" w:cs="Arial"/>
          <w:sz w:val="24"/>
          <w:szCs w:val="24"/>
        </w:rPr>
        <w:t>uju</w:t>
      </w:r>
      <w:r w:rsidRPr="00840A2F">
        <w:rPr>
          <w:rFonts w:ascii="Arial" w:eastAsia="Calibri" w:hAnsi="Arial" w:cs="Arial"/>
          <w:sz w:val="24"/>
          <w:szCs w:val="24"/>
          <w:lang w:val="sr-Latn-ME"/>
        </w:rPr>
        <w:t xml:space="preserve">. Subjekt nadzora, kao javna ustanova koja se bavi socijalnom i dječijom zaštitom obavlja stručne poslove i to: savjetodavno usmjeravanje, aktivaciju i realizaciju socio-edukativnih aktivnosti u skladu sa potrebama i interesima korisnika i stranaka, shodno odredbama člana 5 Pravilnika o bližim uslovima i standardima za obavljanje stručnih poslova u socijlanoj i dječjoj zaštiti. JU Centar za socijalni za optine Kotor, Tivat i Budva i JU Centri za socijalni rad u Podgorici i Nikšiću, službena lica i drugi stručnjaci, kao nadležni u konkretnom slučaju, ovlašćeni su da razmenjuju lične podatke o djetetu i njegovoj porodici, na zahtjev ili po službenoj dužnosti, ukoliko je to neophodno radi zaštite djeteta i obavljanja poslova u okviru njihove zakonom utvrđene djelatnosti. S tim u vezi, Zapisnikom je nedvosmisleno kontatovano, da je  uvidom u  </w:t>
      </w:r>
      <w:r w:rsidRPr="00840A2F">
        <w:rPr>
          <w:rFonts w:ascii="Arial" w:eastAsia="Calibri" w:hAnsi="Arial" w:cs="Arial"/>
          <w:sz w:val="24"/>
          <w:szCs w:val="24"/>
          <w:lang w:val="sr-Latn-BA"/>
        </w:rPr>
        <w:t xml:space="preserve">kopiju maila od 20.11.2019.godine, sa e-mail adrese: </w:t>
      </w:r>
      <w:r>
        <w:rPr>
          <w:rFonts w:ascii="Arial" w:eastAsia="Calibri" w:hAnsi="Arial" w:cs="Arial"/>
          <w:color w:val="0066CC"/>
          <w:sz w:val="24"/>
          <w:szCs w:val="24"/>
          <w:u w:val="single"/>
          <w:lang w:val="sr-Latn-BA"/>
        </w:rPr>
        <w:t>XX</w:t>
      </w:r>
      <w:r w:rsidRPr="00840A2F">
        <w:rPr>
          <w:rFonts w:ascii="Arial" w:eastAsia="Calibri" w:hAnsi="Arial" w:cs="Arial"/>
          <w:sz w:val="24"/>
          <w:szCs w:val="24"/>
          <w:lang w:val="sr-Latn-BA"/>
        </w:rPr>
        <w:t xml:space="preserve"> upućen mail podnosiocu zahtjeva, </w:t>
      </w:r>
      <w:r>
        <w:rPr>
          <w:rFonts w:ascii="Arial" w:eastAsia="Calibri" w:hAnsi="Arial" w:cs="Arial"/>
          <w:sz w:val="24"/>
          <w:szCs w:val="24"/>
          <w:lang w:val="sr-Latn-BA"/>
        </w:rPr>
        <w:t>XX</w:t>
      </w:r>
      <w:r w:rsidRPr="00840A2F">
        <w:rPr>
          <w:rFonts w:ascii="Arial" w:eastAsia="Calibri" w:hAnsi="Arial" w:cs="Arial"/>
          <w:sz w:val="24"/>
          <w:szCs w:val="24"/>
          <w:lang w:val="sr-Latn-BA"/>
        </w:rPr>
        <w:t xml:space="preserve"> na e-mail adresu: </w:t>
      </w:r>
      <w:hyperlink r:id="rId6" w:history="1">
        <w:r>
          <w:rPr>
            <w:rStyle w:val="Hyperlink"/>
            <w:rFonts w:ascii="Arial" w:eastAsia="Calibri" w:hAnsi="Arial" w:cs="Arial"/>
            <w:sz w:val="24"/>
            <w:szCs w:val="24"/>
            <w:lang w:val="sr-Latn-BA"/>
          </w:rPr>
          <w:t>XX</w:t>
        </w:r>
      </w:hyperlink>
      <w:r w:rsidRPr="00840A2F">
        <w:rPr>
          <w:rFonts w:ascii="Arial" w:eastAsia="Calibri" w:hAnsi="Arial" w:cs="Arial"/>
          <w:sz w:val="24"/>
          <w:szCs w:val="24"/>
          <w:lang w:val="sr-Latn-BA"/>
        </w:rPr>
        <w:t xml:space="preserve">, a da je u kopiji (CC)  maila isti prosleđen i direktorici JU Centa Podgorica, </w:t>
      </w:r>
      <w:r>
        <w:rPr>
          <w:rFonts w:ascii="Arial" w:eastAsia="Calibri" w:hAnsi="Arial" w:cs="Arial"/>
          <w:sz w:val="24"/>
          <w:szCs w:val="24"/>
          <w:lang w:val="sr-Latn-BA"/>
        </w:rPr>
        <w:t>XX</w:t>
      </w:r>
      <w:r w:rsidRPr="00840A2F">
        <w:rPr>
          <w:rFonts w:ascii="Arial" w:eastAsia="Calibri" w:hAnsi="Arial" w:cs="Arial"/>
          <w:sz w:val="24"/>
          <w:szCs w:val="24"/>
          <w:lang w:val="sr-Latn-BA"/>
        </w:rPr>
        <w:t xml:space="preserve"> na e-maila adresu:</w:t>
      </w:r>
      <w:hyperlink r:id="rId7" w:history="1">
        <w:r>
          <w:rPr>
            <w:rFonts w:ascii="Arial" w:eastAsia="Calibri" w:hAnsi="Arial" w:cs="Arial"/>
            <w:color w:val="0066CC"/>
            <w:sz w:val="24"/>
            <w:szCs w:val="24"/>
            <w:u w:val="single"/>
            <w:lang w:val="sr-Latn-BA"/>
          </w:rPr>
          <w:t>XX</w:t>
        </w:r>
      </w:hyperlink>
      <w:r w:rsidRPr="00840A2F">
        <w:rPr>
          <w:rFonts w:ascii="Arial" w:eastAsia="Calibri" w:hAnsi="Arial" w:cs="Arial"/>
          <w:sz w:val="24"/>
          <w:szCs w:val="24"/>
          <w:lang w:val="sr-Latn-BA"/>
        </w:rPr>
        <w:t xml:space="preserve"> i istim su dostavljeni: Rješenje o izuzeću stručnog radnika; Mišljenje Ombudsmana, br. 01-511/19 od 08.11.2019.godine i Zapisnik o inspekcijskom nadzoru.U konkretnoj pravnoj stvari, imajući u vidu Porodični zakon, potreban je visok stepen senzibiliteta naročito kod činjenice da su porodični odnosi  između oca mal. djevojčice sa jedne strane i porodice pok. majke mal. djevojčice sa druge strane. Dakle, JU Centar za socijalni rad za opštine Kotor, Tivat i Budva je to prepoznao, te je u najboljem interesu mal. djevojčice postupio u skladu sa Porodičnim zakonom, Konvencijom o pravima djeteta, Zakonom o zaštiti podataka o ličnosti, kao i ostalim propisima koji regulišu ovu materiju, pa je izvjesno da je učinjen pomak u regulisanju načina viđanja mal. djevojčice sa svojom tetkom, sestrom pok. majke.</w:t>
      </w:r>
    </w:p>
    <w:p w:rsidR="00840A2F" w:rsidRPr="00840A2F" w:rsidRDefault="00840A2F" w:rsidP="00840A2F">
      <w:pPr>
        <w:spacing w:after="0" w:line="276" w:lineRule="auto"/>
        <w:jc w:val="both"/>
        <w:rPr>
          <w:rFonts w:ascii="Tahoma" w:eastAsia="Calibri" w:hAnsi="Tahoma" w:cs="Tahoma"/>
          <w:sz w:val="24"/>
          <w:szCs w:val="24"/>
          <w:lang w:val="sr-Latn-BA"/>
        </w:rPr>
      </w:pPr>
    </w:p>
    <w:p w:rsidR="00840A2F" w:rsidRPr="00840A2F" w:rsidRDefault="00840A2F" w:rsidP="00840A2F">
      <w:pPr>
        <w:spacing w:after="0" w:line="276" w:lineRule="auto"/>
        <w:jc w:val="both"/>
        <w:rPr>
          <w:rFonts w:ascii="Tahoma" w:eastAsia="Calibri" w:hAnsi="Tahoma" w:cs="Tahoma"/>
          <w:sz w:val="24"/>
          <w:szCs w:val="24"/>
          <w:lang w:val="sr-Latn-CS"/>
        </w:rPr>
      </w:pPr>
      <w:r w:rsidRPr="00840A2F">
        <w:rPr>
          <w:rFonts w:ascii="Tahoma" w:eastAsia="Calibri" w:hAnsi="Tahoma" w:cs="Tahoma"/>
          <w:sz w:val="24"/>
          <w:szCs w:val="24"/>
          <w:lang w:val="sr-Latn-BA"/>
        </w:rPr>
        <w:t xml:space="preserve">Na predmetni Zapisnik, od strane podnosioca </w:t>
      </w:r>
      <w:r w:rsidRPr="00840A2F">
        <w:rPr>
          <w:rFonts w:ascii="Tahoma" w:eastAsia="Calibri" w:hAnsi="Tahoma" w:cs="Tahoma"/>
          <w:sz w:val="24"/>
          <w:szCs w:val="24"/>
          <w:lang w:val="sr-Latn-CS"/>
        </w:rPr>
        <w:t>Zahtjeva</w:t>
      </w:r>
      <w:r>
        <w:rPr>
          <w:rFonts w:ascii="Tahoma" w:eastAsia="Calibri" w:hAnsi="Tahoma" w:cs="Tahoma"/>
          <w:sz w:val="24"/>
          <w:szCs w:val="24"/>
          <w:lang w:val="sr-Latn-CS"/>
        </w:rPr>
        <w:t xml:space="preserve"> XX</w:t>
      </w:r>
      <w:r w:rsidRPr="00840A2F">
        <w:rPr>
          <w:rFonts w:ascii="Tahoma" w:eastAsia="Calibri" w:hAnsi="Tahoma" w:cs="Tahoma"/>
          <w:sz w:val="24"/>
          <w:szCs w:val="24"/>
          <w:lang w:val="sr-Latn-CS"/>
        </w:rPr>
        <w:t>, izjavljen je  Prigovor br. 05-18-9710-10/19  od 20.01.2020. godine, u blagovremenom roku.  U Prigovoru se u bitnom navodi da je prilikom vršenja kontrole od strane kontrolora došlo do povrede postupka, netačnog i nepotpunog utvrđenog činjeničnog stanja, te pogrešne primjene materijalnog prava. Naime, kontrolor nije utvrdio bitne činjenice koje su relevantne za ovaj postupak iz čega proizilazi da je nadzor obavljen paušalno i nepragmatično, budući da se akcenat u Zapisniku stavlja na to da li je izvršen pomak u okviru porodične situacije oko ostvar</w:t>
      </w:r>
      <w:r>
        <w:rPr>
          <w:rFonts w:ascii="Tahoma" w:eastAsia="Calibri" w:hAnsi="Tahoma" w:cs="Tahoma"/>
          <w:sz w:val="24"/>
          <w:szCs w:val="24"/>
          <w:lang w:val="sr-Latn-CS"/>
        </w:rPr>
        <w:t>ivanja zakonskih prava mal. XX</w:t>
      </w:r>
      <w:r w:rsidRPr="00840A2F">
        <w:rPr>
          <w:rFonts w:ascii="Tahoma" w:eastAsia="Calibri" w:hAnsi="Tahoma" w:cs="Tahoma"/>
          <w:sz w:val="24"/>
          <w:szCs w:val="24"/>
          <w:lang w:val="sr-Latn-CS"/>
        </w:rPr>
        <w:t>, a zanemaruje se primarni cilj nadzora, a to je da li je postojao zakonski osnov da se korespodencija putem meila, između nje (njene privatne emai</w:t>
      </w:r>
      <w:r>
        <w:rPr>
          <w:rFonts w:ascii="Tahoma" w:eastAsia="Calibri" w:hAnsi="Tahoma" w:cs="Tahoma"/>
          <w:sz w:val="24"/>
          <w:szCs w:val="24"/>
          <w:lang w:val="sr-Latn-CS"/>
        </w:rPr>
        <w:t>l adrese) i direktora XX</w:t>
      </w:r>
      <w:r w:rsidRPr="00840A2F">
        <w:rPr>
          <w:rFonts w:ascii="Tahoma" w:eastAsia="Calibri" w:hAnsi="Tahoma" w:cs="Tahoma"/>
          <w:sz w:val="24"/>
          <w:szCs w:val="24"/>
          <w:lang w:val="sr-Latn-CS"/>
        </w:rPr>
        <w:t xml:space="preserve">, kao odgovornog lica Centra, bude proslijeđena na službeni email direktorice Centra za socijalni rad u Podgorici, kada je  predmet predstavki (podnosioca zahtjeva u ime porodice) pritužba na rad službenika JU Centra za socijalni za opštine Kotor, Tivat i Budva. Kako dalje stoji u Prigovoru iz sadržine dokumenata koje su poslati uz Zahtjev za zaštitu prava  jasno se  navodi kome su isti dostavljeni kao organima </w:t>
      </w:r>
      <w:r w:rsidRPr="00840A2F">
        <w:rPr>
          <w:rFonts w:ascii="Tahoma" w:eastAsia="Calibri" w:hAnsi="Tahoma" w:cs="Tahoma"/>
          <w:sz w:val="24"/>
          <w:szCs w:val="24"/>
          <w:lang w:val="sr-Latn-CS"/>
        </w:rPr>
        <w:lastRenderedPageBreak/>
        <w:t>i licima u tom upravnom postupku. Takođe, ističe da se  Zapisnik o inspekcijskom nadzoru dostavlja samo subjektu nadzora i podnosiocu zahtjeva . Napominje se da ni u u jednom od dostavljenih akata  nije napisano da se dostavlja Centru za socijalni rad Podgorica budući i da  nema zakonskog osnova za njihovo dostavljanje. Predlaže se da se nadzor sprovede i u JU Centru za socijalni rad Podgorica kako bi se iz prakse ovog Centra nepobitno utvrdilo kako se vrši službena koorespodencija između organa.</w:t>
      </w:r>
    </w:p>
    <w:p w:rsidR="00840A2F" w:rsidRPr="00840A2F" w:rsidRDefault="00840A2F" w:rsidP="00840A2F">
      <w:pPr>
        <w:spacing w:after="0" w:line="276" w:lineRule="auto"/>
        <w:jc w:val="both"/>
        <w:rPr>
          <w:rFonts w:ascii="Tahoma" w:eastAsia="Calibri" w:hAnsi="Tahoma" w:cs="Tahoma"/>
          <w:sz w:val="24"/>
          <w:szCs w:val="24"/>
        </w:rPr>
      </w:pPr>
    </w:p>
    <w:p w:rsidR="00840A2F" w:rsidRPr="00840A2F" w:rsidRDefault="00840A2F" w:rsidP="00840A2F">
      <w:pPr>
        <w:widowControl w:val="0"/>
        <w:autoSpaceDE w:val="0"/>
        <w:autoSpaceDN w:val="0"/>
        <w:adjustRightInd w:val="0"/>
        <w:spacing w:after="0" w:line="276" w:lineRule="auto"/>
        <w:jc w:val="both"/>
        <w:rPr>
          <w:rFonts w:ascii="Tahoma" w:eastAsia="Times New Roman" w:hAnsi="Tahoma" w:cs="Tahoma"/>
          <w:sz w:val="24"/>
          <w:szCs w:val="24"/>
          <w:lang w:val="sr-Latn-ME"/>
        </w:rPr>
      </w:pPr>
      <w:r w:rsidRPr="00840A2F">
        <w:rPr>
          <w:rFonts w:ascii="Tahoma" w:eastAsia="Times New Roman" w:hAnsi="Tahoma" w:cs="Tahoma"/>
          <w:sz w:val="24"/>
          <w:szCs w:val="24"/>
          <w:lang w:val="hr-HR"/>
        </w:rPr>
        <w:t xml:space="preserve">Nakon razmatranja spisa predmeta: </w:t>
      </w:r>
      <w:r w:rsidRPr="00840A2F">
        <w:rPr>
          <w:rFonts w:ascii="Tahoma" w:eastAsia="Times New Roman" w:hAnsi="Tahoma" w:cs="Tahoma"/>
          <w:sz w:val="24"/>
          <w:szCs w:val="24"/>
          <w:lang w:val="sr-Latn-BA"/>
        </w:rPr>
        <w:t>kopija e-maila od 20.11.2019.godine; Mišljenje Zaštitnika ljudskih prava i sloboda Crne Gore, br. 01-511/19 od 08.11.2019.godine; Rješenje JU Centru za socijalni rad za opštine Kotor, Tivat i Budva, br.01-245 od 18.11.2019.godine; Zapisnik Uprave za inspekcijske poslove Odsjek za inspekcijsku socijalne i dječje zaštite, br.0232/4-96 od 08.11.2019.godine,</w:t>
      </w:r>
      <w:r w:rsidRPr="00840A2F">
        <w:rPr>
          <w:rFonts w:ascii="Tahoma" w:eastAsia="Times New Roman" w:hAnsi="Tahoma" w:cs="Tahoma"/>
          <w:sz w:val="24"/>
          <w:szCs w:val="24"/>
          <w:lang w:val="hr-HR"/>
        </w:rPr>
        <w:t xml:space="preserve"> navoda iz Zapisnika o izvršenom  nadzoru,  Prigovora na Zapisnik o izvršenom nadzoru, </w:t>
      </w:r>
      <w:r w:rsidRPr="00840A2F">
        <w:rPr>
          <w:rFonts w:ascii="Tahoma" w:eastAsia="Times New Roman" w:hAnsi="Tahoma" w:cs="Tahoma"/>
          <w:sz w:val="24"/>
          <w:szCs w:val="24"/>
          <w:lang w:val="sr-Latn-BA"/>
        </w:rPr>
        <w:t xml:space="preserve"> </w:t>
      </w:r>
      <w:r w:rsidRPr="00840A2F">
        <w:rPr>
          <w:rFonts w:ascii="Tahoma" w:eastAsia="Times New Roman" w:hAnsi="Tahoma" w:cs="Tahoma"/>
          <w:sz w:val="24"/>
          <w:szCs w:val="24"/>
          <w:lang w:val="hr-HR"/>
        </w:rPr>
        <w:t xml:space="preserve">Savjet Agencije </w:t>
      </w:r>
      <w:r w:rsidRPr="00840A2F">
        <w:rPr>
          <w:rFonts w:ascii="Tahoma" w:eastAsia="Times New Roman" w:hAnsi="Tahoma" w:cs="Tahoma"/>
          <w:sz w:val="24"/>
          <w:szCs w:val="24"/>
          <w:lang w:val="sr-Latn-BA"/>
        </w:rPr>
        <w:t>odlučio je kao u dispozitivu ovog Rješenja iz sljedećih razloga.</w:t>
      </w: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r w:rsidRPr="00840A2F">
        <w:rPr>
          <w:rFonts w:ascii="Tahoma" w:eastAsia="Calibri" w:hAnsi="Tahoma" w:cs="Tahoma"/>
          <w:sz w:val="24"/>
          <w:szCs w:val="24"/>
        </w:rPr>
        <w:t>Članom 2 stavovi 1 i 2 Zakona o zaštiti podataka o ličnosti propisano je da se podaci o ličnosti moraju obrađivati na pošten i zakonit način te da se lični podaci ne mogu obrađivati u većem obimu nego što je potrebno da bi se postigla svrha obrade niti na način koji nije u skladu sa njihovom namjenom.</w:t>
      </w: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r w:rsidRPr="00840A2F">
        <w:rPr>
          <w:rFonts w:ascii="Tahoma" w:eastAsia="Calibri" w:hAnsi="Tahoma" w:cs="Tahoma"/>
          <w:sz w:val="24"/>
          <w:szCs w:val="24"/>
        </w:rPr>
        <w:t xml:space="preserve">Članom 4 Zakona obezbjeđuje se zaštita ličnih podataka svakom licu bez obzira na državljanstvo, prebivalište, rasu, boju kože, pol, jezik, vjeru, političko i drugo uvjerenje, nacionalnost, socijalčno porijeklo, imovno stanje, obrazovanje, društveni položaj i drugo lično svojstvo. </w:t>
      </w: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r w:rsidRPr="00840A2F">
        <w:rPr>
          <w:rFonts w:ascii="Tahoma" w:eastAsia="Calibri" w:hAnsi="Tahoma" w:cs="Tahoma"/>
          <w:sz w:val="24"/>
          <w:szCs w:val="24"/>
        </w:rPr>
        <w:t>Član 17 stav 1 i 2 Zakona propisuje da rukovalac zbirke ličnih podataka mora trećoj strani, odnosno korisniku ličnih podataka, na njegov zahtjev, dati lične podatke koji su mu potrebi. Zahtjev iz stave 1 ovog člana sadrži informacije o kategorijama ličnih podataka koje se traže, njihovoj namjeni, pravnom osnovu za korišćenje i davanje podataka na korišćenje, vremenu korišćenja i dovoljno podataka za identifikaciju lica čiji se podaci traže. Treća strana odnosno korisnik ličnih podataka je svako fizičko ili pravno lice, državni organ, organ državne uprave, organ lokalne samouprave ili lokalne uprave i drugi subjekti koji vrše javna ovlašćenja, koji imaju pravo da obrađuju lične podatke a nije lice čiji se lični podaci obrađuju, prvobitni rukovalac zbirke ličih podataka , obrađivač ličnih podataka ili lice zaposleno kod rukovaoca zbirke ličnih podataka ili obrađivača ličinih podataka (čl. 9 stav 1 tačka 4 Zakona).</w:t>
      </w: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r w:rsidRPr="00840A2F">
        <w:rPr>
          <w:rFonts w:ascii="Tahoma" w:eastAsia="Calibri" w:hAnsi="Tahoma" w:cs="Tahoma"/>
          <w:sz w:val="24"/>
          <w:szCs w:val="24"/>
        </w:rPr>
        <w:t>Osnovani su navodi iz Prigovora da se predmenti kontrolor bavio porodičnom situacijom i međuljudskim odnosima u</w:t>
      </w:r>
      <w:r>
        <w:rPr>
          <w:rFonts w:ascii="Tahoma" w:eastAsia="Calibri" w:hAnsi="Tahoma" w:cs="Tahoma"/>
          <w:sz w:val="24"/>
          <w:szCs w:val="24"/>
        </w:rPr>
        <w:t xml:space="preserve"> istoj vezano za maloljetnu XX</w:t>
      </w:r>
      <w:r w:rsidRPr="00840A2F">
        <w:rPr>
          <w:rFonts w:ascii="Tahoma" w:eastAsia="Calibri" w:hAnsi="Tahoma" w:cs="Tahoma"/>
          <w:sz w:val="24"/>
          <w:szCs w:val="24"/>
        </w:rPr>
        <w:t xml:space="preserve"> a ne predmetnim Zahtjevom </w:t>
      </w:r>
      <w:r w:rsidRPr="00840A2F">
        <w:rPr>
          <w:rFonts w:ascii="Tahoma" w:eastAsia="Calibri" w:hAnsi="Tahoma" w:cs="Tahoma"/>
          <w:sz w:val="24"/>
          <w:szCs w:val="24"/>
        </w:rPr>
        <w:lastRenderedPageBreak/>
        <w:t>za zaštitu prava, jer je predmet ovog nadzora utvrđivanje zakonitosti obrade l</w:t>
      </w:r>
      <w:r>
        <w:rPr>
          <w:rFonts w:ascii="Tahoma" w:eastAsia="Calibri" w:hAnsi="Tahoma" w:cs="Tahoma"/>
          <w:sz w:val="24"/>
          <w:szCs w:val="24"/>
        </w:rPr>
        <w:t>ičnih podataka XX, a ne zaštita maloljetne XX</w:t>
      </w:r>
      <w:r w:rsidRPr="00840A2F">
        <w:rPr>
          <w:rFonts w:ascii="Tahoma" w:eastAsia="Calibri" w:hAnsi="Tahoma" w:cs="Tahoma"/>
          <w:sz w:val="24"/>
          <w:szCs w:val="24"/>
        </w:rPr>
        <w:t xml:space="preserve"> i njenog odnosa sa srodnicima, odnosno regulisanje načina viđanja maloljetne djevojčice sa tetkom.  Dakle, predmet nadzora je primjena odredbi Zakona o zaštiti podataka o ličnosti, naročito člana 17 koji propisuje pod kojim uslovima se vrši davanje ličnih podataka na korišćenje drugim rukovaocima. Ovo naročito iz razloga jer se iz spisa predmeta ne može zaključiti da li Centar za socijalni rad za Glavni grad Podgorica i opštine u okviru Glavnog grada Golubovci i opštinu Tuzi, ima status korisnika ličnih podataka  prilikom podnošenja  pritužbi na rad JU Centra</w:t>
      </w:r>
      <w:r w:rsidRPr="00840A2F">
        <w:rPr>
          <w:rFonts w:ascii="Tahoma" w:eastAsia="Calibri" w:hAnsi="Tahoma" w:cs="Tahoma"/>
          <w:sz w:val="24"/>
          <w:szCs w:val="24"/>
          <w:lang w:val="sr-Latn-BA"/>
        </w:rPr>
        <w:t xml:space="preserve"> za socijalni rad za opštine Kotor, Tivat i Budva</w:t>
      </w:r>
      <w:r w:rsidRPr="00840A2F">
        <w:rPr>
          <w:rFonts w:ascii="Tahoma" w:eastAsia="Calibri" w:hAnsi="Tahoma" w:cs="Tahoma"/>
          <w:sz w:val="24"/>
          <w:szCs w:val="24"/>
        </w:rPr>
        <w:t xml:space="preserve">  od strane podnositeljke Prigovora (u ime porodice). Nadzorom nisu posebno cijenjeni akti koji su dostavljeni u prilogu predmetnog zahtjeva, a što je bilo neophodno kako bi se pravilno utvrdilo činjenično stanje i primijenilo materijalno pravo, i to:</w:t>
      </w: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r w:rsidRPr="00840A2F">
        <w:rPr>
          <w:rFonts w:ascii="Tahoma" w:eastAsia="Calibri" w:hAnsi="Tahoma" w:cs="Tahoma"/>
          <w:sz w:val="24"/>
          <w:szCs w:val="24"/>
        </w:rPr>
        <w:t xml:space="preserve">-Rešenje </w:t>
      </w:r>
      <w:r w:rsidRPr="00840A2F">
        <w:rPr>
          <w:rFonts w:ascii="Tahoma" w:eastAsia="Calibri" w:hAnsi="Tahoma" w:cs="Tahoma"/>
          <w:sz w:val="24"/>
          <w:szCs w:val="24"/>
          <w:lang w:val="sr-Latn-BA"/>
        </w:rPr>
        <w:t xml:space="preserve">JU Centru za socijalni rad za opštine Kotor, Tivat i Budva, br.01-245 od 18.11.2019.godine;  kako se navodi rješenje dostaviti: podnositeljki zahtjeva, Upravnoj inspeckiji, dosijeu, a/a; </w:t>
      </w:r>
      <w:r w:rsidRPr="00840A2F">
        <w:rPr>
          <w:rFonts w:ascii="Tahoma" w:eastAsia="Calibri" w:hAnsi="Tahoma" w:cs="Tahoma"/>
          <w:sz w:val="24"/>
          <w:szCs w:val="24"/>
        </w:rPr>
        <w:t xml:space="preserve"> </w:t>
      </w: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lang w:val="sr-Latn-BA"/>
        </w:rPr>
      </w:pPr>
      <w:r w:rsidRPr="00840A2F">
        <w:rPr>
          <w:rFonts w:ascii="Tahoma" w:eastAsia="Calibri" w:hAnsi="Tahoma" w:cs="Tahoma"/>
          <w:sz w:val="24"/>
          <w:szCs w:val="24"/>
        </w:rPr>
        <w:t>-</w:t>
      </w:r>
      <w:r w:rsidRPr="00840A2F">
        <w:rPr>
          <w:rFonts w:ascii="Tahoma" w:eastAsia="Calibri" w:hAnsi="Tahoma" w:cs="Tahoma"/>
          <w:sz w:val="24"/>
          <w:szCs w:val="24"/>
          <w:lang w:val="sr-Latn-BA"/>
        </w:rPr>
        <w:t xml:space="preserve">Mišljenje Zaštitnika ljudskih prava i sloboda Crne Gore, br. 01-511/19 od 08.11.2019.godine; kako se navodi dostaviti: podnositeljki pritužbe, JU Centru za socijalni rad za opštine Kotor , Tivat i Budva – PJ Budva, a/a; </w:t>
      </w: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lang w:val="sr-Latn-BA"/>
        </w:rPr>
      </w:pPr>
      <w:r w:rsidRPr="00840A2F">
        <w:rPr>
          <w:rFonts w:ascii="Tahoma" w:eastAsia="Calibri" w:hAnsi="Tahoma" w:cs="Tahoma"/>
          <w:sz w:val="24"/>
          <w:szCs w:val="24"/>
          <w:lang w:val="sr-Latn-BA"/>
        </w:rPr>
        <w:t xml:space="preserve">-Zapisnik Uprave za inspekcijske poslove Odsjek za inspekcijsku socijalne i dječje zaštite, br.0232/4-96 od 08.11.2019.godine;kako se navodi  dostavlja se: subjektu nadzora i podnositeljki inicijative. </w:t>
      </w: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r w:rsidRPr="00840A2F">
        <w:rPr>
          <w:rFonts w:ascii="Tahoma" w:eastAsia="Calibri" w:hAnsi="Tahoma" w:cs="Tahoma"/>
          <w:sz w:val="24"/>
          <w:szCs w:val="24"/>
          <w:lang w:val="sr-Latn-BA"/>
        </w:rPr>
        <w:t>Iz navedenih akata proizilazi da</w:t>
      </w:r>
      <w:r w:rsidRPr="00840A2F">
        <w:rPr>
          <w:rFonts w:ascii="Tahoma" w:eastAsia="Calibri" w:hAnsi="Tahoma" w:cs="Tahoma"/>
          <w:sz w:val="24"/>
          <w:szCs w:val="24"/>
        </w:rPr>
        <w:t xml:space="preserve"> Centar za socijalni rad  za Glavni grad Podgorica i opštine u okviru Glavnog grada Golubovci i opštinu Tuzi, nije naveden kao  stranka u ovim upravnim postupcima, pa je sporan  status  ovog organa kao korisnika ličnih podataka u smislu člana 9 stav 1 tačka 4 Zakona o zaštiti podataka o ličnosti. Takođe, nadzorom se nije cjenila ispunjenost uslova za davanje ličnih podataka shodno članu 17 ovog Zakona.    </w:t>
      </w: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r w:rsidRPr="00840A2F">
        <w:rPr>
          <w:rFonts w:ascii="Tahoma" w:eastAsia="Calibri" w:hAnsi="Tahoma" w:cs="Tahoma"/>
          <w:sz w:val="24"/>
          <w:szCs w:val="24"/>
        </w:rPr>
        <w:t xml:space="preserve">Kako bi Savjet Agencije mogao donijeti konačnu odluku po Zahtjevu za zaštitu prava, potrebno je izvršiti nadzor u Centru za socijalni rad za Glavni grad Podgorica i opštine u okviru Glavnog grada Golubovci i opštinu Tuzi kako bi se jasno i nedvosmisleno utvrdilo da li ovaj organ ima status korisnika u predmetnom slučaju, odnosno da li se obrada </w:t>
      </w:r>
      <w:r>
        <w:rPr>
          <w:rFonts w:ascii="Tahoma" w:eastAsia="Calibri" w:hAnsi="Tahoma" w:cs="Tahoma"/>
          <w:sz w:val="24"/>
          <w:szCs w:val="24"/>
        </w:rPr>
        <w:t>ličnih podatka XX</w:t>
      </w:r>
      <w:r w:rsidRPr="00840A2F">
        <w:rPr>
          <w:rFonts w:ascii="Tahoma" w:eastAsia="Calibri" w:hAnsi="Tahoma" w:cs="Tahoma"/>
          <w:sz w:val="24"/>
          <w:szCs w:val="24"/>
        </w:rPr>
        <w:t xml:space="preserve">, koja se odnosi na njenu privatnu email adresu (vezano za email korespodenciju), vršila na zakonit način.  </w:t>
      </w:r>
    </w:p>
    <w:p w:rsidR="00840A2F" w:rsidRPr="00840A2F" w:rsidRDefault="00840A2F" w:rsidP="00840A2F">
      <w:pPr>
        <w:autoSpaceDE w:val="0"/>
        <w:autoSpaceDN w:val="0"/>
        <w:adjustRightInd w:val="0"/>
        <w:spacing w:after="0" w:line="276" w:lineRule="auto"/>
        <w:jc w:val="both"/>
        <w:rPr>
          <w:rFonts w:ascii="Tahoma" w:eastAsia="Calibri" w:hAnsi="Tahoma" w:cs="Tahoma"/>
          <w:sz w:val="24"/>
          <w:szCs w:val="24"/>
        </w:rPr>
      </w:pPr>
    </w:p>
    <w:p w:rsidR="00840A2F" w:rsidRPr="00840A2F" w:rsidRDefault="00840A2F" w:rsidP="00840A2F">
      <w:pPr>
        <w:spacing w:after="0" w:line="276" w:lineRule="auto"/>
        <w:jc w:val="both"/>
        <w:rPr>
          <w:rFonts w:ascii="Tahoma" w:eastAsia="Calibri" w:hAnsi="Tahoma" w:cs="Tahoma"/>
          <w:sz w:val="24"/>
          <w:szCs w:val="24"/>
          <w:lang w:val="sr-Latn-ME"/>
        </w:rPr>
      </w:pPr>
      <w:r w:rsidRPr="00840A2F">
        <w:rPr>
          <w:rFonts w:ascii="Tahoma" w:eastAsia="Calibri" w:hAnsi="Tahoma" w:cs="Tahoma"/>
          <w:sz w:val="24"/>
          <w:szCs w:val="24"/>
          <w:lang w:val="sr-Latn-BA"/>
        </w:rPr>
        <w:t>Imajući u vidu navedeno, odlučeno je kao u dispozitivu.</w:t>
      </w:r>
    </w:p>
    <w:p w:rsidR="00840A2F" w:rsidRPr="00840A2F" w:rsidRDefault="00840A2F" w:rsidP="00840A2F">
      <w:pPr>
        <w:spacing w:after="0" w:line="276" w:lineRule="auto"/>
        <w:jc w:val="both"/>
        <w:rPr>
          <w:rFonts w:ascii="Tahoma" w:eastAsia="Calibri" w:hAnsi="Tahoma" w:cs="Tahoma"/>
          <w:sz w:val="24"/>
          <w:szCs w:val="24"/>
        </w:rPr>
      </w:pPr>
    </w:p>
    <w:p w:rsidR="00840A2F" w:rsidRPr="00840A2F" w:rsidRDefault="00840A2F" w:rsidP="00840A2F">
      <w:pPr>
        <w:spacing w:after="0" w:line="276" w:lineRule="auto"/>
        <w:jc w:val="both"/>
        <w:rPr>
          <w:rFonts w:ascii="Tahoma" w:eastAsia="Times New Roman" w:hAnsi="Tahoma" w:cs="Tahoma"/>
          <w:sz w:val="24"/>
          <w:szCs w:val="24"/>
          <w:lang w:val="sr-Latn-BA"/>
        </w:rPr>
      </w:pPr>
      <w:r w:rsidRPr="00840A2F">
        <w:rPr>
          <w:rFonts w:ascii="Tahoma" w:eastAsia="Times New Roman" w:hAnsi="Tahoma" w:cs="Tahoma"/>
          <w:b/>
          <w:sz w:val="24"/>
          <w:szCs w:val="24"/>
          <w:u w:val="single"/>
          <w:lang w:val="sr-Latn-CS"/>
        </w:rPr>
        <w:t>Uputstvo o pravnoj zaštiti:</w:t>
      </w:r>
      <w:r w:rsidRPr="00840A2F">
        <w:rPr>
          <w:rFonts w:ascii="Tahoma" w:eastAsia="Times New Roman" w:hAnsi="Tahoma" w:cs="Tahoma"/>
          <w:sz w:val="24"/>
          <w:szCs w:val="24"/>
          <w:lang w:val="sr-Latn-CS"/>
        </w:rPr>
        <w:t xml:space="preserve"> </w:t>
      </w:r>
      <w:r w:rsidRPr="00840A2F">
        <w:rPr>
          <w:rFonts w:ascii="Tahoma" w:eastAsia="Calibri" w:hAnsi="Tahoma" w:cs="Tahoma"/>
          <w:b/>
          <w:sz w:val="24"/>
          <w:szCs w:val="24"/>
          <w:lang w:val="sr-Latn-CS"/>
        </w:rPr>
        <w:t>Protiv ovog Rješenja može se pokrenuti Upravni spor u roku od 20 dana od dana prijema.</w:t>
      </w:r>
    </w:p>
    <w:p w:rsidR="00840A2F" w:rsidRPr="00840A2F" w:rsidRDefault="00840A2F" w:rsidP="00840A2F">
      <w:pPr>
        <w:spacing w:after="0" w:line="276" w:lineRule="auto"/>
        <w:jc w:val="right"/>
        <w:rPr>
          <w:rFonts w:ascii="Tahoma" w:hAnsi="Tahoma" w:cs="Tahoma"/>
          <w:b/>
          <w:sz w:val="28"/>
          <w:szCs w:val="28"/>
        </w:rPr>
      </w:pPr>
    </w:p>
    <w:p w:rsidR="00840A2F" w:rsidRPr="00840A2F" w:rsidRDefault="00840A2F" w:rsidP="00840A2F">
      <w:pPr>
        <w:spacing w:after="0" w:line="276" w:lineRule="auto"/>
        <w:jc w:val="right"/>
        <w:rPr>
          <w:rFonts w:ascii="Tahoma" w:hAnsi="Tahoma" w:cs="Tahoma"/>
          <w:b/>
          <w:sz w:val="28"/>
          <w:szCs w:val="28"/>
        </w:rPr>
      </w:pPr>
    </w:p>
    <w:p w:rsidR="00840A2F" w:rsidRPr="00840A2F" w:rsidRDefault="00840A2F" w:rsidP="00840A2F">
      <w:pPr>
        <w:spacing w:after="0" w:line="276" w:lineRule="auto"/>
        <w:jc w:val="right"/>
        <w:rPr>
          <w:rFonts w:ascii="Tahoma" w:hAnsi="Tahoma" w:cs="Tahoma"/>
          <w:b/>
          <w:sz w:val="28"/>
          <w:szCs w:val="28"/>
        </w:rPr>
      </w:pPr>
    </w:p>
    <w:p w:rsidR="00840A2F" w:rsidRPr="00840A2F" w:rsidRDefault="00840A2F" w:rsidP="00840A2F">
      <w:pPr>
        <w:spacing w:after="0" w:line="276" w:lineRule="auto"/>
        <w:jc w:val="right"/>
        <w:rPr>
          <w:rFonts w:ascii="Tahoma" w:hAnsi="Tahoma" w:cs="Tahoma"/>
          <w:b/>
          <w:sz w:val="28"/>
          <w:szCs w:val="28"/>
        </w:rPr>
      </w:pPr>
      <w:r w:rsidRPr="00840A2F">
        <w:rPr>
          <w:rFonts w:ascii="Tahoma" w:hAnsi="Tahoma" w:cs="Tahoma"/>
          <w:b/>
          <w:sz w:val="28"/>
          <w:szCs w:val="28"/>
        </w:rPr>
        <w:t>SAVJET AGENCIJE</w:t>
      </w:r>
    </w:p>
    <w:p w:rsidR="00840A2F" w:rsidRPr="00840A2F" w:rsidRDefault="00840A2F" w:rsidP="00840A2F">
      <w:pPr>
        <w:spacing w:after="0" w:line="276" w:lineRule="auto"/>
        <w:jc w:val="right"/>
        <w:rPr>
          <w:rFonts w:ascii="Tahoma" w:hAnsi="Tahoma" w:cs="Tahoma"/>
          <w:b/>
          <w:sz w:val="28"/>
          <w:szCs w:val="28"/>
        </w:rPr>
      </w:pPr>
      <w:r w:rsidRPr="00840A2F">
        <w:rPr>
          <w:rFonts w:ascii="Tahoma" w:hAnsi="Tahoma" w:cs="Tahoma"/>
          <w:sz w:val="24"/>
          <w:szCs w:val="24"/>
        </w:rPr>
        <w:t xml:space="preserve">                                                                                 </w:t>
      </w:r>
    </w:p>
    <w:p w:rsidR="00840A2F" w:rsidRPr="00840A2F" w:rsidRDefault="00840A2F" w:rsidP="00840A2F">
      <w:pPr>
        <w:spacing w:after="0" w:line="276" w:lineRule="auto"/>
        <w:jc w:val="right"/>
        <w:rPr>
          <w:rFonts w:ascii="Tahoma" w:hAnsi="Tahoma" w:cs="Tahoma"/>
          <w:b/>
          <w:sz w:val="24"/>
          <w:szCs w:val="24"/>
        </w:rPr>
      </w:pPr>
      <w:r w:rsidRPr="00840A2F">
        <w:rPr>
          <w:rFonts w:ascii="Tahoma" w:hAnsi="Tahoma" w:cs="Tahoma"/>
          <w:b/>
          <w:sz w:val="24"/>
          <w:szCs w:val="24"/>
        </w:rPr>
        <w:t>Predsjednik, Sreten Radonjić</w:t>
      </w:r>
    </w:p>
    <w:p w:rsidR="00840A2F" w:rsidRPr="00840A2F" w:rsidRDefault="00840A2F" w:rsidP="00840A2F">
      <w:pPr>
        <w:spacing w:after="0" w:line="276" w:lineRule="auto"/>
        <w:rPr>
          <w:rFonts w:ascii="Tahoma" w:hAnsi="Tahoma" w:cs="Tahoma"/>
          <w:b/>
          <w:sz w:val="18"/>
          <w:szCs w:val="18"/>
        </w:rPr>
      </w:pPr>
    </w:p>
    <w:p w:rsidR="00840A2F" w:rsidRPr="00840A2F" w:rsidRDefault="00840A2F" w:rsidP="00840A2F">
      <w:pPr>
        <w:spacing w:after="0" w:line="276" w:lineRule="auto"/>
        <w:ind w:right="-513"/>
        <w:rPr>
          <w:rFonts w:ascii="Tahoma" w:eastAsia="Calibri" w:hAnsi="Tahoma" w:cs="Tahoma"/>
          <w:b/>
          <w:sz w:val="18"/>
          <w:szCs w:val="18"/>
          <w:lang w:val="en-GB" w:eastAsia="en-GB"/>
        </w:rPr>
      </w:pPr>
    </w:p>
    <w:p w:rsidR="00840A2F" w:rsidRPr="00840A2F" w:rsidRDefault="00840A2F" w:rsidP="00840A2F">
      <w:pPr>
        <w:spacing w:after="0" w:line="276" w:lineRule="auto"/>
        <w:ind w:right="-513"/>
        <w:rPr>
          <w:rFonts w:ascii="Tahoma" w:eastAsia="Calibri" w:hAnsi="Tahoma" w:cs="Tahoma"/>
          <w:b/>
          <w:sz w:val="18"/>
          <w:lang w:val="en-GB" w:eastAsia="en-GB"/>
        </w:rPr>
      </w:pPr>
    </w:p>
    <w:p w:rsidR="00840A2F" w:rsidRPr="00840A2F" w:rsidRDefault="00840A2F" w:rsidP="00840A2F">
      <w:pPr>
        <w:spacing w:after="0" w:line="276" w:lineRule="auto"/>
        <w:ind w:right="-513"/>
        <w:rPr>
          <w:rFonts w:ascii="Tahoma" w:eastAsia="Calibri" w:hAnsi="Tahoma" w:cs="Tahoma"/>
          <w:b/>
          <w:sz w:val="18"/>
          <w:lang w:val="en-GB" w:eastAsia="en-GB"/>
        </w:rPr>
      </w:pPr>
    </w:p>
    <w:p w:rsidR="00840A2F" w:rsidRPr="00840A2F" w:rsidRDefault="00840A2F" w:rsidP="00840A2F">
      <w:pPr>
        <w:spacing w:after="0" w:line="276" w:lineRule="auto"/>
        <w:ind w:right="-513"/>
        <w:rPr>
          <w:rFonts w:ascii="Tahoma" w:eastAsia="Calibri" w:hAnsi="Tahoma" w:cs="Tahoma"/>
          <w:b/>
          <w:sz w:val="18"/>
          <w:lang w:val="en-GB" w:eastAsia="en-GB"/>
        </w:rPr>
      </w:pPr>
    </w:p>
    <w:p w:rsidR="00840A2F" w:rsidRPr="00840A2F" w:rsidRDefault="00840A2F" w:rsidP="00840A2F">
      <w:pPr>
        <w:spacing w:after="0" w:line="276" w:lineRule="auto"/>
        <w:ind w:right="-513"/>
        <w:rPr>
          <w:rFonts w:ascii="Tahoma" w:eastAsia="Calibri" w:hAnsi="Tahoma" w:cs="Tahoma"/>
          <w:b/>
          <w:sz w:val="18"/>
          <w:lang w:val="en-GB" w:eastAsia="en-GB"/>
        </w:rPr>
      </w:pPr>
      <w:r w:rsidRPr="00840A2F">
        <w:rPr>
          <w:rFonts w:ascii="Tahoma" w:eastAsia="Calibri" w:hAnsi="Tahoma" w:cs="Tahoma"/>
          <w:b/>
          <w:sz w:val="18"/>
          <w:lang w:val="en-GB" w:eastAsia="en-GB"/>
        </w:rPr>
        <w:t xml:space="preserve">Dostavljeno:       </w:t>
      </w:r>
    </w:p>
    <w:p w:rsidR="00840A2F" w:rsidRPr="00840A2F" w:rsidRDefault="00840A2F" w:rsidP="00840A2F">
      <w:pPr>
        <w:spacing w:after="0" w:line="276" w:lineRule="auto"/>
        <w:ind w:right="-513"/>
        <w:rPr>
          <w:rFonts w:ascii="Tahoma" w:eastAsia="Calibri" w:hAnsi="Tahoma" w:cs="Tahoma"/>
          <w:sz w:val="18"/>
          <w:lang w:val="en-GB" w:eastAsia="en-GB"/>
        </w:rPr>
      </w:pPr>
      <w:r w:rsidRPr="00840A2F">
        <w:rPr>
          <w:rFonts w:ascii="Tahoma" w:eastAsia="Calibri" w:hAnsi="Tahoma" w:cs="Tahoma"/>
          <w:b/>
          <w:sz w:val="18"/>
          <w:lang w:val="en-GB" w:eastAsia="en-GB"/>
        </w:rPr>
        <w:t xml:space="preserve">- </w:t>
      </w:r>
      <w:r w:rsidRPr="00840A2F">
        <w:rPr>
          <w:rFonts w:ascii="Tahoma" w:eastAsia="Calibri" w:hAnsi="Tahoma" w:cs="Tahoma"/>
          <w:sz w:val="18"/>
          <w:lang w:val="en-GB" w:eastAsia="en-GB"/>
        </w:rPr>
        <w:t>Podnosiocu Zahtjeva</w:t>
      </w:r>
    </w:p>
    <w:p w:rsidR="00840A2F" w:rsidRPr="00840A2F" w:rsidRDefault="00840A2F" w:rsidP="00840A2F">
      <w:pPr>
        <w:spacing w:after="0" w:line="276" w:lineRule="auto"/>
        <w:ind w:left="-360" w:right="-513" w:firstLine="360"/>
        <w:rPr>
          <w:rFonts w:ascii="Tahoma" w:eastAsia="Calibri" w:hAnsi="Tahoma" w:cs="Tahoma"/>
          <w:sz w:val="18"/>
          <w:lang w:val="en-GB" w:eastAsia="en-GB"/>
        </w:rPr>
      </w:pPr>
      <w:r w:rsidRPr="00840A2F">
        <w:rPr>
          <w:rFonts w:ascii="Tahoma" w:eastAsia="Calibri" w:hAnsi="Tahoma" w:cs="Tahoma"/>
          <w:sz w:val="18"/>
          <w:lang w:val="en-GB" w:eastAsia="en-GB"/>
        </w:rPr>
        <w:t>- Odsjek za predmete i prigovore</w:t>
      </w:r>
      <w:r w:rsidRPr="00840A2F">
        <w:rPr>
          <w:rFonts w:ascii="Tahoma" w:eastAsia="Calibri" w:hAnsi="Tahoma" w:cs="Tahoma"/>
          <w:sz w:val="14"/>
          <w:szCs w:val="18"/>
          <w:lang w:val="en-GB" w:eastAsia="en-GB"/>
        </w:rPr>
        <w:t xml:space="preserve">                             </w:t>
      </w:r>
    </w:p>
    <w:p w:rsidR="00840A2F" w:rsidRPr="00840A2F" w:rsidRDefault="00840A2F" w:rsidP="00840A2F">
      <w:pPr>
        <w:spacing w:after="0" w:line="240" w:lineRule="auto"/>
        <w:rPr>
          <w:rFonts w:ascii="Tahoma" w:eastAsia="Calibri" w:hAnsi="Tahoma" w:cs="Tahoma"/>
          <w:sz w:val="20"/>
          <w:szCs w:val="20"/>
        </w:rPr>
      </w:pPr>
      <w:r w:rsidRPr="00840A2F">
        <w:rPr>
          <w:rFonts w:ascii="Tahoma" w:eastAsia="Calibri" w:hAnsi="Tahoma" w:cs="Tahoma"/>
          <w:sz w:val="20"/>
          <w:szCs w:val="20"/>
        </w:rPr>
        <w:t>- Odsjeku za nadzor</w:t>
      </w:r>
    </w:p>
    <w:p w:rsidR="00840A2F" w:rsidRPr="00840A2F" w:rsidRDefault="00840A2F" w:rsidP="00840A2F">
      <w:pPr>
        <w:spacing w:after="0" w:line="240" w:lineRule="auto"/>
        <w:rPr>
          <w:rFonts w:ascii="Tahoma" w:eastAsia="Calibri" w:hAnsi="Tahoma" w:cs="Tahoma"/>
          <w:sz w:val="20"/>
          <w:szCs w:val="20"/>
        </w:rPr>
      </w:pPr>
      <w:r w:rsidRPr="00840A2F">
        <w:rPr>
          <w:rFonts w:ascii="Tahoma" w:eastAsia="Calibri" w:hAnsi="Tahoma" w:cs="Tahoma"/>
          <w:sz w:val="20"/>
          <w:szCs w:val="20"/>
        </w:rPr>
        <w:t>- a/a</w:t>
      </w:r>
    </w:p>
    <w:p w:rsidR="00840A2F" w:rsidRPr="00840A2F" w:rsidRDefault="00840A2F" w:rsidP="00840A2F">
      <w:pPr>
        <w:spacing w:after="200" w:line="276" w:lineRule="auto"/>
        <w:rPr>
          <w:rFonts w:ascii="Calibri" w:eastAsia="Calibri" w:hAnsi="Calibri" w:cs="Times New Roman"/>
        </w:rPr>
      </w:pPr>
    </w:p>
    <w:p w:rsidR="00840A2F" w:rsidRPr="00840A2F" w:rsidRDefault="00840A2F" w:rsidP="00840A2F">
      <w:pPr>
        <w:spacing w:after="200" w:line="276" w:lineRule="auto"/>
        <w:rPr>
          <w:rFonts w:ascii="Calibri" w:eastAsia="Calibri" w:hAnsi="Calibri" w:cs="Times New Roman"/>
        </w:rPr>
      </w:pPr>
    </w:p>
    <w:p w:rsidR="00840A2F" w:rsidRPr="00840A2F" w:rsidRDefault="00840A2F" w:rsidP="00840A2F">
      <w:pPr>
        <w:spacing w:after="200" w:line="276" w:lineRule="auto"/>
        <w:rPr>
          <w:rFonts w:ascii="Calibri" w:eastAsia="Calibri" w:hAnsi="Calibri" w:cs="Times New Roman"/>
        </w:rPr>
      </w:pPr>
    </w:p>
    <w:p w:rsidR="00840A2F" w:rsidRPr="00840A2F" w:rsidRDefault="00840A2F" w:rsidP="00840A2F">
      <w:pPr>
        <w:spacing w:after="200" w:line="276" w:lineRule="auto"/>
        <w:rPr>
          <w:rFonts w:ascii="Calibri" w:eastAsia="Calibri" w:hAnsi="Calibri" w:cs="Times New Roman"/>
        </w:rPr>
      </w:pPr>
    </w:p>
    <w:p w:rsidR="00840A2F" w:rsidRPr="00840A2F" w:rsidRDefault="00840A2F" w:rsidP="00840A2F">
      <w:pPr>
        <w:spacing w:after="200" w:line="276" w:lineRule="auto"/>
        <w:rPr>
          <w:rFonts w:ascii="Calibri" w:eastAsia="Calibri" w:hAnsi="Calibri" w:cs="Times New Roman"/>
        </w:rPr>
      </w:pPr>
    </w:p>
    <w:p w:rsidR="00840A2F" w:rsidRPr="00840A2F" w:rsidRDefault="00840A2F" w:rsidP="00840A2F">
      <w:pPr>
        <w:spacing w:after="200" w:line="276" w:lineRule="auto"/>
        <w:rPr>
          <w:rFonts w:ascii="Calibri" w:eastAsia="Calibri" w:hAnsi="Calibri" w:cs="Times New Roman"/>
        </w:rPr>
      </w:pPr>
    </w:p>
    <w:p w:rsidR="00840A2F" w:rsidRPr="00840A2F" w:rsidRDefault="00840A2F" w:rsidP="00840A2F">
      <w:pPr>
        <w:spacing w:after="200" w:line="276" w:lineRule="auto"/>
        <w:rPr>
          <w:rFonts w:ascii="Calibri" w:eastAsia="Calibri" w:hAnsi="Calibri" w:cs="Times New Roman"/>
        </w:rPr>
      </w:pPr>
    </w:p>
    <w:p w:rsidR="00840A2F" w:rsidRPr="00840A2F" w:rsidRDefault="00840A2F" w:rsidP="00840A2F">
      <w:pPr>
        <w:spacing w:after="200" w:line="276" w:lineRule="auto"/>
        <w:rPr>
          <w:rFonts w:ascii="Calibri" w:eastAsia="Calibri" w:hAnsi="Calibri" w:cs="Times New Roman"/>
        </w:rPr>
      </w:pPr>
    </w:p>
    <w:p w:rsidR="00840A2F" w:rsidRPr="00840A2F" w:rsidRDefault="00840A2F" w:rsidP="00840A2F">
      <w:pPr>
        <w:spacing w:after="200" w:line="276" w:lineRule="auto"/>
        <w:rPr>
          <w:rFonts w:ascii="Calibri" w:eastAsia="Calibri" w:hAnsi="Calibri" w:cs="Times New Roman"/>
        </w:rPr>
      </w:pPr>
    </w:p>
    <w:p w:rsidR="00840A2F" w:rsidRPr="00840A2F" w:rsidRDefault="00840A2F" w:rsidP="00840A2F">
      <w:pPr>
        <w:spacing w:after="200" w:line="276" w:lineRule="auto"/>
        <w:rPr>
          <w:rFonts w:ascii="Calibri" w:eastAsia="Calibri" w:hAnsi="Calibri" w:cs="Times New Roman"/>
        </w:rPr>
      </w:pPr>
    </w:p>
    <w:p w:rsidR="00636BBA" w:rsidRDefault="00A00140"/>
    <w:sectPr w:rsidR="00636BBA" w:rsidSect="00755A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40" w:rsidRDefault="00A00140">
      <w:pPr>
        <w:spacing w:after="0" w:line="240" w:lineRule="auto"/>
      </w:pPr>
      <w:r>
        <w:separator/>
      </w:r>
    </w:p>
  </w:endnote>
  <w:endnote w:type="continuationSeparator" w:id="0">
    <w:p w:rsidR="00A00140" w:rsidRDefault="00A0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34514"/>
      <w:docPartObj>
        <w:docPartGallery w:val="Page Numbers (Bottom of Page)"/>
        <w:docPartUnique/>
      </w:docPartObj>
    </w:sdtPr>
    <w:sdtEndPr>
      <w:rPr>
        <w:noProof/>
      </w:rPr>
    </w:sdtEndPr>
    <w:sdtContent>
      <w:p w:rsidR="00BC4C12" w:rsidRDefault="00434078">
        <w:pPr>
          <w:pStyle w:val="Footer"/>
          <w:jc w:val="right"/>
        </w:pPr>
        <w:r>
          <w:fldChar w:fldCharType="begin"/>
        </w:r>
        <w:r>
          <w:instrText xml:space="preserve"> PAGE   \* MERGEFORMAT </w:instrText>
        </w:r>
        <w:r>
          <w:fldChar w:fldCharType="separate"/>
        </w:r>
        <w:r w:rsidR="005631C8">
          <w:rPr>
            <w:noProof/>
          </w:rPr>
          <w:t>1</w:t>
        </w:r>
        <w:r>
          <w:rPr>
            <w:noProof/>
          </w:rPr>
          <w:fldChar w:fldCharType="end"/>
        </w:r>
      </w:p>
    </w:sdtContent>
  </w:sdt>
  <w:p w:rsidR="001F6276" w:rsidRDefault="00A0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40" w:rsidRDefault="00A00140">
      <w:pPr>
        <w:spacing w:after="0" w:line="240" w:lineRule="auto"/>
      </w:pPr>
      <w:r>
        <w:separator/>
      </w:r>
    </w:p>
  </w:footnote>
  <w:footnote w:type="continuationSeparator" w:id="0">
    <w:p w:rsidR="00A00140" w:rsidRDefault="00A00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2F"/>
    <w:rsid w:val="00231A56"/>
    <w:rsid w:val="00434078"/>
    <w:rsid w:val="005631C8"/>
    <w:rsid w:val="007309C8"/>
    <w:rsid w:val="00840A2F"/>
    <w:rsid w:val="00A00140"/>
    <w:rsid w:val="00DD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F510F-C34A-4D81-B152-15D99A75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0A2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40A2F"/>
    <w:rPr>
      <w:rFonts w:ascii="Calibri" w:eastAsia="Calibri" w:hAnsi="Calibri" w:cs="Times New Roman"/>
    </w:rPr>
  </w:style>
  <w:style w:type="character" w:styleId="Hyperlink">
    <w:name w:val="Hyperlink"/>
    <w:basedOn w:val="DefaultParagraphFont"/>
    <w:uiPriority w:val="99"/>
    <w:unhideWhenUsed/>
    <w:rsid w:val="00840A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na.stijepovic@czsr.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oleta.golubovic21@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Bešović</dc:creator>
  <cp:keywords/>
  <dc:description/>
  <cp:lastModifiedBy>Nenad Durković</cp:lastModifiedBy>
  <cp:revision>2</cp:revision>
  <dcterms:created xsi:type="dcterms:W3CDTF">2020-03-11T09:46:00Z</dcterms:created>
  <dcterms:modified xsi:type="dcterms:W3CDTF">2020-03-11T09:46:00Z</dcterms:modified>
</cp:coreProperties>
</file>