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F1EDB" w:rsidRPr="00117E26" w:rsidRDefault="00D2736A" w:rsidP="00117E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17E26" w:rsidRPr="00D32F39" w:rsidRDefault="00117E26" w:rsidP="00117E26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06-11-3040-</w:t>
      </w:r>
      <w:r w:rsidR="00AA0392">
        <w:rPr>
          <w:rFonts w:ascii="Tahoma" w:hAnsi="Tahoma" w:cs="Tahoma"/>
          <w:b/>
          <w:sz w:val="24"/>
          <w:szCs w:val="24"/>
          <w:lang w:val="sr-Latn-ME"/>
        </w:rPr>
        <w:t>4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117E26" w:rsidRDefault="00117E26" w:rsidP="00117E26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6719FB">
        <w:rPr>
          <w:rFonts w:ascii="Tahoma" w:hAnsi="Tahoma" w:cs="Tahoma"/>
          <w:b/>
          <w:sz w:val="24"/>
          <w:szCs w:val="24"/>
          <w:lang w:val="sr-Latn-ME"/>
        </w:rPr>
        <w:t>04</w:t>
      </w:r>
      <w:r w:rsidR="003C32AA">
        <w:rPr>
          <w:rFonts w:ascii="Tahoma" w:hAnsi="Tahoma" w:cs="Tahoma"/>
          <w:b/>
          <w:sz w:val="24"/>
          <w:szCs w:val="24"/>
          <w:lang w:val="sr-Latn-ME"/>
        </w:rPr>
        <w:t>.04.2018.</w:t>
      </w:r>
    </w:p>
    <w:p w:rsidR="00117E26" w:rsidRPr="00CF3A99" w:rsidRDefault="00117E26" w:rsidP="00117E26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Default="00117E26" w:rsidP="00117E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Ministarstvo vanjskih poslova</w:t>
      </w:r>
    </w:p>
    <w:p w:rsidR="00117E26" w:rsidRDefault="00117E26" w:rsidP="00117E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UPRAVA ZA DIJASPORU</w:t>
      </w:r>
    </w:p>
    <w:p w:rsidR="00117E26" w:rsidRPr="00D15A60" w:rsidRDefault="00117E26" w:rsidP="00117E2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15A60">
        <w:rPr>
          <w:rFonts w:ascii="Tahoma" w:hAnsi="Tahoma" w:cs="Tahoma"/>
          <w:b/>
          <w:sz w:val="24"/>
          <w:szCs w:val="24"/>
          <w:lang w:val="sr-Latn-ME"/>
        </w:rPr>
        <w:t xml:space="preserve">n/r </w:t>
      </w:r>
      <w:r>
        <w:rPr>
          <w:rFonts w:ascii="Tahoma" w:hAnsi="Tahoma" w:cs="Tahoma"/>
          <w:b/>
          <w:sz w:val="24"/>
          <w:szCs w:val="24"/>
          <w:lang w:val="sr-Latn-ME"/>
        </w:rPr>
        <w:t>direktoru, mr Predragu Mitroviću</w:t>
      </w:r>
    </w:p>
    <w:p w:rsidR="00117E26" w:rsidRPr="00D32F39" w:rsidRDefault="00117E26" w:rsidP="00117E26">
      <w:pPr>
        <w:spacing w:after="0" w:line="240" w:lineRule="auto"/>
        <w:ind w:left="6480" w:firstLine="72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Pr="00D32F39" w:rsidRDefault="00117E26" w:rsidP="00117E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Bulevar Sv Petra Cetinjskog br.9</w:t>
      </w:r>
    </w:p>
    <w:p w:rsidR="00117E26" w:rsidRPr="00CA3BCD" w:rsidRDefault="00117E26" w:rsidP="00117E26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P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D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G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R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I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C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A</w:t>
      </w:r>
    </w:p>
    <w:p w:rsidR="00117E26" w:rsidRPr="00D32F39" w:rsidRDefault="00117E26" w:rsidP="00117E2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117E2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Zahtjevu, br.</w:t>
      </w:r>
      <w:r w:rsidR="002D14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8430D">
        <w:rPr>
          <w:rFonts w:ascii="Tahoma" w:hAnsi="Tahoma" w:cs="Tahoma"/>
          <w:sz w:val="24"/>
          <w:szCs w:val="24"/>
          <w:lang w:val="sr-Latn-ME"/>
        </w:rPr>
        <w:t>06-11-3040-2/18 od 28.03.2018.godine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="0098430D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kojim od Agencije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="00D724BF" w:rsidRPr="00D724B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24BF">
        <w:rPr>
          <w:rFonts w:ascii="Tahoma" w:hAnsi="Tahoma" w:cs="Tahoma"/>
          <w:sz w:val="24"/>
          <w:szCs w:val="24"/>
          <w:lang w:val="sr-Latn-ME"/>
        </w:rPr>
        <w:t>Ministarstvo vanjskih poslova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24BF">
        <w:rPr>
          <w:rFonts w:ascii="Tahoma" w:hAnsi="Tahoma" w:cs="Tahoma"/>
          <w:sz w:val="24"/>
          <w:szCs w:val="24"/>
          <w:lang w:val="sr-Latn-ME"/>
        </w:rPr>
        <w:t xml:space="preserve">- </w:t>
      </w:r>
      <w:r>
        <w:rPr>
          <w:rFonts w:ascii="Tahoma" w:hAnsi="Tahoma" w:cs="Tahoma"/>
          <w:sz w:val="24"/>
          <w:szCs w:val="24"/>
          <w:lang w:val="sr-Latn-ME"/>
        </w:rPr>
        <w:t xml:space="preserve">Uprava za </w:t>
      </w:r>
      <w:r w:rsidR="00D724BF">
        <w:rPr>
          <w:rFonts w:ascii="Tahoma" w:hAnsi="Tahoma" w:cs="Tahoma"/>
          <w:sz w:val="24"/>
          <w:szCs w:val="24"/>
          <w:lang w:val="sr-Latn-ME"/>
        </w:rPr>
        <w:t>dijasporu</w:t>
      </w:r>
      <w:r>
        <w:rPr>
          <w:rFonts w:ascii="Tahoma" w:hAnsi="Tahoma" w:cs="Tahoma"/>
          <w:sz w:val="24"/>
          <w:szCs w:val="24"/>
          <w:lang w:val="sr-Latn-ME"/>
        </w:rPr>
        <w:t xml:space="preserve"> traži mišljenje da li su članovi 51- Vođenje evidencija i 52- Izvori i obrada podataka u evidencijama </w:t>
      </w:r>
      <w:r w:rsidR="00CE7362">
        <w:rPr>
          <w:rFonts w:ascii="Tahoma" w:hAnsi="Tahoma" w:cs="Tahoma"/>
          <w:sz w:val="24"/>
          <w:szCs w:val="24"/>
          <w:lang w:val="sr-Latn-ME"/>
        </w:rPr>
        <w:t>Nacrta z</w:t>
      </w:r>
      <w:r>
        <w:rPr>
          <w:rFonts w:ascii="Tahoma" w:hAnsi="Tahoma" w:cs="Tahoma"/>
          <w:sz w:val="24"/>
          <w:szCs w:val="24"/>
          <w:lang w:val="sr-Latn-ME"/>
        </w:rPr>
        <w:t xml:space="preserve">akona o saradnji Crne Gore sa iseljenicima usaglašeni sa odredbama Zakona o zaštiti podataka o ličnosti, </w:t>
      </w:r>
      <w:r w:rsidRPr="00D32F39">
        <w:rPr>
          <w:rFonts w:ascii="Tahoma" w:hAnsi="Tahoma" w:cs="Tahoma"/>
          <w:sz w:val="24"/>
          <w:szCs w:val="24"/>
          <w:lang w:val="sr-Latn-ME"/>
        </w:rPr>
        <w:t>Savjet Agencije je na sjednici održanoj dana</w:t>
      </w:r>
      <w:r w:rsidR="003C32AA">
        <w:rPr>
          <w:rFonts w:ascii="Tahoma" w:hAnsi="Tahoma" w:cs="Tahoma"/>
          <w:sz w:val="24"/>
          <w:szCs w:val="24"/>
          <w:lang w:val="sr-Latn-ME"/>
        </w:rPr>
        <w:t xml:space="preserve"> 30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="00CE7362">
        <w:rPr>
          <w:rFonts w:ascii="Tahoma" w:hAnsi="Tahoma" w:cs="Tahoma"/>
          <w:sz w:val="24"/>
          <w:szCs w:val="24"/>
          <w:lang w:val="sr-Latn-ME"/>
        </w:rPr>
        <w:t>03</w:t>
      </w:r>
      <w:r>
        <w:rPr>
          <w:rFonts w:ascii="Tahoma" w:hAnsi="Tahoma" w:cs="Tahoma"/>
          <w:sz w:val="24"/>
          <w:szCs w:val="24"/>
          <w:lang w:val="sr-Latn-ME"/>
        </w:rPr>
        <w:t>.2018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donio sljedeće</w:t>
      </w:r>
    </w:p>
    <w:p w:rsidR="00117E26" w:rsidRPr="00D32F39" w:rsidRDefault="00117E26" w:rsidP="00117E2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117E26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117E26" w:rsidRPr="0098430D" w:rsidRDefault="00117E26" w:rsidP="00117E26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C32AA" w:rsidRDefault="003C32AA" w:rsidP="00CE736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Član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51</w:t>
      </w:r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stav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2</w:t>
      </w:r>
      <w:r w:rsidR="00CE7362" w:rsidRP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Nacrta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z</w:t>
      </w:r>
      <w:r w:rsidR="00CE7362" w:rsidRPr="0098430D">
        <w:rPr>
          <w:rFonts w:ascii="Tahoma" w:hAnsi="Tahoma" w:cs="Tahoma"/>
          <w:b/>
          <w:sz w:val="24"/>
          <w:szCs w:val="24"/>
        </w:rPr>
        <w:t>akona</w:t>
      </w:r>
      <w:proofErr w:type="spellEnd"/>
      <w:r w:rsidR="00CE7362" w:rsidRPr="0098430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CE7362" w:rsidRPr="0098430D">
        <w:rPr>
          <w:rFonts w:ascii="Tahoma" w:hAnsi="Tahoma" w:cs="Tahoma"/>
          <w:b/>
          <w:sz w:val="24"/>
          <w:szCs w:val="24"/>
        </w:rPr>
        <w:t>saradnji</w:t>
      </w:r>
      <w:proofErr w:type="spellEnd"/>
      <w:r w:rsidR="00CE7362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 w:rsidRPr="0098430D">
        <w:rPr>
          <w:rFonts w:ascii="Tahoma" w:hAnsi="Tahoma" w:cs="Tahoma"/>
          <w:b/>
          <w:sz w:val="24"/>
          <w:szCs w:val="24"/>
        </w:rPr>
        <w:t>Crne</w:t>
      </w:r>
      <w:proofErr w:type="spellEnd"/>
      <w:r w:rsidR="00CE7362" w:rsidRPr="0098430D">
        <w:rPr>
          <w:rFonts w:ascii="Tahoma" w:hAnsi="Tahoma" w:cs="Tahoma"/>
          <w:b/>
          <w:sz w:val="24"/>
          <w:szCs w:val="24"/>
        </w:rPr>
        <w:t xml:space="preserve"> Gore </w:t>
      </w:r>
      <w:proofErr w:type="spellStart"/>
      <w:proofErr w:type="gramStart"/>
      <w:r w:rsidR="00CE7362" w:rsidRPr="0098430D"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 w:rsidR="00CE7362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2323">
        <w:rPr>
          <w:rFonts w:ascii="Tahoma" w:hAnsi="Tahoma" w:cs="Tahoma"/>
          <w:b/>
          <w:sz w:val="24"/>
          <w:szCs w:val="24"/>
        </w:rPr>
        <w:t>iseljenicima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treba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izmijeniti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na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način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što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će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iz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istog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brisati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"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jedinstveni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matični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broj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ili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lični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broj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b/>
          <w:sz w:val="24"/>
          <w:szCs w:val="24"/>
        </w:rPr>
        <w:t>iseljenika</w:t>
      </w:r>
      <w:proofErr w:type="spellEnd"/>
      <w:r w:rsidR="00CE7362">
        <w:rPr>
          <w:rFonts w:ascii="Tahoma" w:hAnsi="Tahoma" w:cs="Tahoma"/>
          <w:b/>
          <w:sz w:val="24"/>
          <w:szCs w:val="24"/>
        </w:rPr>
        <w:t>".</w:t>
      </w:r>
    </w:p>
    <w:p w:rsidR="00CE7362" w:rsidRDefault="00CE7362" w:rsidP="0098430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474551" w:rsidRPr="0098430D" w:rsidRDefault="00CE7362" w:rsidP="0098430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Član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="0098430D" w:rsidRPr="0098430D">
        <w:rPr>
          <w:rFonts w:ascii="Tahoma" w:hAnsi="Tahoma" w:cs="Tahoma"/>
          <w:b/>
          <w:sz w:val="24"/>
          <w:szCs w:val="24"/>
        </w:rPr>
        <w:t>52</w:t>
      </w:r>
      <w:r w:rsidR="00474551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Nacrta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</w:t>
      </w:r>
      <w:r w:rsidR="00474551" w:rsidRPr="0098430D">
        <w:rPr>
          <w:rFonts w:ascii="Tahoma" w:hAnsi="Tahoma" w:cs="Tahoma"/>
          <w:b/>
          <w:sz w:val="24"/>
          <w:szCs w:val="24"/>
        </w:rPr>
        <w:t>akona</w:t>
      </w:r>
      <w:proofErr w:type="spellEnd"/>
      <w:r w:rsidR="00474551" w:rsidRPr="0098430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474551" w:rsidRPr="0098430D">
        <w:rPr>
          <w:rFonts w:ascii="Tahoma" w:hAnsi="Tahoma" w:cs="Tahoma"/>
          <w:b/>
          <w:sz w:val="24"/>
          <w:szCs w:val="24"/>
        </w:rPr>
        <w:t>saradnji</w:t>
      </w:r>
      <w:proofErr w:type="spellEnd"/>
      <w:r w:rsidR="00474551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74551" w:rsidRPr="0098430D">
        <w:rPr>
          <w:rFonts w:ascii="Tahoma" w:hAnsi="Tahoma" w:cs="Tahoma"/>
          <w:b/>
          <w:sz w:val="24"/>
          <w:szCs w:val="24"/>
        </w:rPr>
        <w:t>Crne</w:t>
      </w:r>
      <w:proofErr w:type="spellEnd"/>
      <w:r w:rsidR="00474551" w:rsidRPr="0098430D">
        <w:rPr>
          <w:rFonts w:ascii="Tahoma" w:hAnsi="Tahoma" w:cs="Tahoma"/>
          <w:b/>
          <w:sz w:val="24"/>
          <w:szCs w:val="24"/>
        </w:rPr>
        <w:t xml:space="preserve"> Gore </w:t>
      </w:r>
      <w:proofErr w:type="spellStart"/>
      <w:proofErr w:type="gramStart"/>
      <w:r w:rsidR="00474551" w:rsidRPr="0098430D"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 w:rsidR="00474551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2323">
        <w:rPr>
          <w:rFonts w:ascii="Tahoma" w:hAnsi="Tahoma" w:cs="Tahoma"/>
          <w:b/>
          <w:sz w:val="24"/>
          <w:szCs w:val="24"/>
        </w:rPr>
        <w:t>iseljenicima</w:t>
      </w:r>
      <w:proofErr w:type="spellEnd"/>
      <w:r w:rsidR="00474551" w:rsidRPr="0098430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je </w:t>
      </w:r>
      <w:proofErr w:type="spellStart"/>
      <w:r>
        <w:rPr>
          <w:rFonts w:ascii="Tahoma" w:hAnsi="Tahoma" w:cs="Tahoma"/>
          <w:b/>
          <w:sz w:val="24"/>
          <w:szCs w:val="24"/>
        </w:rPr>
        <w:t>usaglašen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sa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odredbama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Zakona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="0098430D" w:rsidRPr="0098430D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98430D" w:rsidRPr="0098430D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="0098430D">
        <w:rPr>
          <w:rFonts w:ascii="Tahoma" w:hAnsi="Tahoma" w:cs="Tahoma"/>
          <w:b/>
          <w:sz w:val="24"/>
          <w:szCs w:val="24"/>
        </w:rPr>
        <w:t>.</w:t>
      </w:r>
    </w:p>
    <w:p w:rsidR="00474551" w:rsidRDefault="00474551" w:rsidP="00117E26">
      <w:pPr>
        <w:spacing w:after="0"/>
        <w:jc w:val="both"/>
        <w:rPr>
          <w:rFonts w:ascii="Tahoma" w:hAnsi="Tahoma" w:cs="Tahoma"/>
        </w:rPr>
      </w:pPr>
    </w:p>
    <w:p w:rsidR="00474551" w:rsidRPr="0090457E" w:rsidRDefault="00474551" w:rsidP="00117E26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Pr="00D32F39" w:rsidRDefault="00117E26" w:rsidP="00117E26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117E26" w:rsidRPr="00D32F39" w:rsidRDefault="00117E26" w:rsidP="00117E26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117E26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32F39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2D14DD">
        <w:rPr>
          <w:rFonts w:ascii="Tahoma" w:hAnsi="Tahoma" w:cs="Tahoma"/>
          <w:sz w:val="24"/>
          <w:szCs w:val="24"/>
          <w:lang w:val="sr-Latn-ME"/>
        </w:rPr>
        <w:t>28</w:t>
      </w:r>
      <w:r>
        <w:rPr>
          <w:rFonts w:ascii="Tahoma" w:hAnsi="Tahoma" w:cs="Tahoma"/>
          <w:sz w:val="24"/>
          <w:szCs w:val="24"/>
          <w:lang w:val="sr-Latn-ME"/>
        </w:rPr>
        <w:t>.03.2018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ovoj Agenciji se</w:t>
      </w:r>
      <w:r w:rsidR="00D724BF">
        <w:rPr>
          <w:rFonts w:ascii="Tahoma" w:hAnsi="Tahoma" w:cs="Tahoma"/>
          <w:sz w:val="24"/>
          <w:szCs w:val="24"/>
          <w:lang w:val="sr-Latn-ME"/>
        </w:rPr>
        <w:t xml:space="preserve"> obratila Uprava za dijasporu </w:t>
      </w:r>
      <w:r w:rsidRPr="00D32F39">
        <w:rPr>
          <w:rFonts w:ascii="Tahoma" w:hAnsi="Tahoma" w:cs="Tahoma"/>
          <w:sz w:val="24"/>
          <w:szCs w:val="24"/>
          <w:lang w:val="sr-Latn-ME"/>
        </w:rPr>
        <w:t>Zahtjevom</w:t>
      </w:r>
      <w:r w:rsidRPr="00F512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D14DD">
        <w:rPr>
          <w:rFonts w:ascii="Tahoma" w:hAnsi="Tahoma" w:cs="Tahoma"/>
          <w:sz w:val="24"/>
          <w:szCs w:val="24"/>
          <w:lang w:val="sr-Latn-ME"/>
        </w:rPr>
        <w:t>br.06-11-3040-2</w:t>
      </w:r>
      <w:r>
        <w:rPr>
          <w:rFonts w:ascii="Tahoma" w:hAnsi="Tahoma" w:cs="Tahoma"/>
          <w:sz w:val="24"/>
          <w:szCs w:val="24"/>
          <w:lang w:val="sr-Latn-ME"/>
        </w:rPr>
        <w:t xml:space="preserve">/18 kojim traži mišljenje da li su članovi 51- Vođenje evidencija i 52- Izvori i obrada podataka u evidencijama </w:t>
      </w:r>
      <w:r w:rsidR="00CE7362">
        <w:rPr>
          <w:rFonts w:ascii="Tahoma" w:hAnsi="Tahoma" w:cs="Tahoma"/>
          <w:sz w:val="24"/>
          <w:szCs w:val="24"/>
          <w:lang w:val="sr-Latn-ME"/>
        </w:rPr>
        <w:t>Nacrta z</w:t>
      </w:r>
      <w:r>
        <w:rPr>
          <w:rFonts w:ascii="Tahoma" w:hAnsi="Tahoma" w:cs="Tahoma"/>
          <w:sz w:val="24"/>
          <w:szCs w:val="24"/>
          <w:lang w:val="sr-Latn-ME"/>
        </w:rPr>
        <w:t>akona o saradnji Crne Gore sa iseljenicima usaglašeni sa odredbama Zakona o zaštiti podataka o ličnosti.</w:t>
      </w:r>
      <w:r w:rsidR="0098430D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CE7362" w:rsidRPr="00CE7362" w:rsidRDefault="00117E26" w:rsidP="00CE736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412D5">
        <w:rPr>
          <w:rFonts w:ascii="Tahoma" w:hAnsi="Tahoma" w:cs="Tahoma"/>
          <w:sz w:val="24"/>
          <w:szCs w:val="24"/>
          <w:lang w:val="sr-Latn-ME"/>
        </w:rPr>
        <w:t xml:space="preserve">Postupajući u skladu sa članom 50 tačka 3 Zakona o zaštiti podataka o ličnosti („Službeni list CG“, br. 79/08, 70/09, 44/12 i 22/17), u kojem se navodi da Agencija </w:t>
      </w:r>
      <w:r w:rsidRPr="002412D5">
        <w:rPr>
          <w:rFonts w:ascii="Tahoma" w:hAnsi="Tahoma" w:cs="Tahoma"/>
          <w:sz w:val="24"/>
          <w:szCs w:val="24"/>
          <w:lang w:val="sr-Latn-ME"/>
        </w:rPr>
        <w:lastRenderedPageBreak/>
        <w:t xml:space="preserve">daje mišljenja u vezi sa primjenom ovog zakona, a na osnovu </w:t>
      </w:r>
      <w:r>
        <w:rPr>
          <w:rFonts w:ascii="Tahoma" w:hAnsi="Tahoma" w:cs="Tahoma"/>
          <w:sz w:val="24"/>
          <w:szCs w:val="24"/>
          <w:lang w:val="sr-Latn-ME"/>
        </w:rPr>
        <w:t xml:space="preserve">predmetnog Zahtjeva </w:t>
      </w:r>
      <w:r w:rsidRPr="002412D5">
        <w:rPr>
          <w:rFonts w:ascii="Tahoma" w:hAnsi="Tahoma" w:cs="Tahoma"/>
          <w:sz w:val="24"/>
          <w:szCs w:val="24"/>
          <w:lang w:val="sr-Latn-ME"/>
        </w:rPr>
        <w:t xml:space="preserve">, Savjet Agencije je </w:t>
      </w:r>
      <w:r w:rsidR="0040742F" w:rsidRPr="001B5CD6">
        <w:rPr>
          <w:rFonts w:ascii="Tahoma" w:hAnsi="Tahoma" w:cs="Tahoma"/>
          <w:sz w:val="24"/>
          <w:szCs w:val="24"/>
          <w:lang w:val="sr-Latn-ME"/>
        </w:rPr>
        <w:t>mišljenja</w:t>
      </w:r>
      <w:r w:rsidR="0081476C" w:rsidRPr="001B5CD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8430D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98430D" w:rsidRPr="0098430D">
        <w:rPr>
          <w:rFonts w:ascii="Tahoma" w:hAnsi="Tahoma" w:cs="Tahoma"/>
          <w:sz w:val="24"/>
          <w:szCs w:val="24"/>
          <w:lang w:val="sr-Latn-ME"/>
        </w:rPr>
        <w:t>č</w:t>
      </w:r>
      <w:proofErr w:type="spellStart"/>
      <w:r w:rsidR="00CE7362">
        <w:rPr>
          <w:rFonts w:ascii="Tahoma" w:hAnsi="Tahoma" w:cs="Tahoma"/>
          <w:sz w:val="24"/>
          <w:szCs w:val="24"/>
        </w:rPr>
        <w:t>lan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r w:rsidR="0098430D" w:rsidRPr="0098430D">
        <w:rPr>
          <w:rFonts w:ascii="Tahoma" w:hAnsi="Tahoma" w:cs="Tahoma"/>
          <w:sz w:val="24"/>
          <w:szCs w:val="24"/>
        </w:rPr>
        <w:t>51</w:t>
      </w:r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stav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2</w:t>
      </w:r>
      <w:r w:rsidR="0098430D" w:rsidRPr="009843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Nacrta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z</w:t>
      </w:r>
      <w:r w:rsidR="0098430D" w:rsidRPr="0098430D">
        <w:rPr>
          <w:rFonts w:ascii="Tahoma" w:hAnsi="Tahoma" w:cs="Tahoma"/>
          <w:sz w:val="24"/>
          <w:szCs w:val="24"/>
        </w:rPr>
        <w:t>akona</w:t>
      </w:r>
      <w:proofErr w:type="spellEnd"/>
      <w:r w:rsidR="0098430D" w:rsidRPr="009843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8430D" w:rsidRPr="0098430D">
        <w:rPr>
          <w:rFonts w:ascii="Tahoma" w:hAnsi="Tahoma" w:cs="Tahoma"/>
          <w:sz w:val="24"/>
          <w:szCs w:val="24"/>
        </w:rPr>
        <w:t>saradnji</w:t>
      </w:r>
      <w:proofErr w:type="spellEnd"/>
      <w:r w:rsidR="0098430D" w:rsidRPr="009843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30D" w:rsidRPr="0098430D">
        <w:rPr>
          <w:rFonts w:ascii="Tahoma" w:hAnsi="Tahoma" w:cs="Tahoma"/>
          <w:sz w:val="24"/>
          <w:szCs w:val="24"/>
        </w:rPr>
        <w:t>Crne</w:t>
      </w:r>
      <w:proofErr w:type="spellEnd"/>
      <w:r w:rsidR="0098430D" w:rsidRPr="0098430D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98430D" w:rsidRPr="0098430D">
        <w:rPr>
          <w:rFonts w:ascii="Tahoma" w:hAnsi="Tahoma" w:cs="Tahoma"/>
          <w:sz w:val="24"/>
          <w:szCs w:val="24"/>
        </w:rPr>
        <w:t>sa</w:t>
      </w:r>
      <w:proofErr w:type="spellEnd"/>
      <w:r w:rsidR="0098430D" w:rsidRPr="009843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2323">
        <w:rPr>
          <w:rFonts w:ascii="Tahoma" w:hAnsi="Tahoma" w:cs="Tahoma"/>
          <w:sz w:val="24"/>
          <w:szCs w:val="24"/>
        </w:rPr>
        <w:t>iseljenicima</w:t>
      </w:r>
      <w:proofErr w:type="spellEnd"/>
      <w:r w:rsidR="00CE7362" w:rsidRPr="00CE736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treba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izmijeniti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na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način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što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će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iz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istog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brisati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"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jedinstveni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matični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broj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ili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lični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broj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>
        <w:rPr>
          <w:rFonts w:ascii="Tahoma" w:hAnsi="Tahoma" w:cs="Tahoma"/>
          <w:sz w:val="24"/>
          <w:szCs w:val="24"/>
        </w:rPr>
        <w:t>iseljenika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" </w:t>
      </w:r>
      <w:proofErr w:type="spellStart"/>
      <w:r w:rsidR="00CE7362">
        <w:rPr>
          <w:rFonts w:ascii="Tahoma" w:hAnsi="Tahoma" w:cs="Tahoma"/>
          <w:sz w:val="24"/>
          <w:szCs w:val="24"/>
        </w:rPr>
        <w:t>dok</w:t>
      </w:r>
      <w:proofErr w:type="spellEnd"/>
      <w:r w:rsidR="00CE736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član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52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Nacrta</w:t>
      </w:r>
      <w:proofErr w:type="spellEnd"/>
      <w:r w:rsidR="00EF69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69A5">
        <w:rPr>
          <w:rFonts w:ascii="Tahoma" w:hAnsi="Tahoma" w:cs="Tahoma"/>
          <w:sz w:val="24"/>
          <w:szCs w:val="24"/>
        </w:rPr>
        <w:t>z</w:t>
      </w:r>
      <w:r w:rsidR="00CE7362" w:rsidRPr="00CE7362">
        <w:rPr>
          <w:rFonts w:ascii="Tahoma" w:hAnsi="Tahoma" w:cs="Tahoma"/>
          <w:sz w:val="24"/>
          <w:szCs w:val="24"/>
        </w:rPr>
        <w:t>akona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usaglašen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sa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odredbama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Zakona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zaštiti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podataka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7362" w:rsidRPr="00CE7362">
        <w:rPr>
          <w:rFonts w:ascii="Tahoma" w:hAnsi="Tahoma" w:cs="Tahoma"/>
          <w:sz w:val="24"/>
          <w:szCs w:val="24"/>
        </w:rPr>
        <w:t>ličnosti</w:t>
      </w:r>
      <w:proofErr w:type="spellEnd"/>
      <w:r w:rsidR="00CE7362" w:rsidRPr="00CE7362">
        <w:rPr>
          <w:rFonts w:ascii="Tahoma" w:hAnsi="Tahoma" w:cs="Tahoma"/>
          <w:sz w:val="24"/>
          <w:szCs w:val="24"/>
        </w:rPr>
        <w:t>.</w:t>
      </w:r>
    </w:p>
    <w:p w:rsidR="0040742F" w:rsidRPr="002D14DD" w:rsidRDefault="0040742F" w:rsidP="002D14D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D14DD" w:rsidRDefault="00CB217E" w:rsidP="00CB217E">
      <w:pPr>
        <w:pStyle w:val="Default"/>
        <w:spacing w:line="276" w:lineRule="auto"/>
        <w:jc w:val="both"/>
        <w:rPr>
          <w:rFonts w:ascii="Tahoma" w:hAnsi="Tahoma" w:cs="Tahoma"/>
          <w:lang w:val="sr-Latn-ME"/>
        </w:rPr>
      </w:pPr>
      <w:proofErr w:type="gramStart"/>
      <w:r w:rsidRPr="00653567">
        <w:rPr>
          <w:rFonts w:ascii="Tahoma" w:hAnsi="Tahoma" w:cs="Tahoma"/>
        </w:rPr>
        <w:t xml:space="preserve">S </w:t>
      </w:r>
      <w:proofErr w:type="spellStart"/>
      <w:r w:rsidRPr="00653567">
        <w:rPr>
          <w:rFonts w:ascii="Tahoma" w:hAnsi="Tahoma" w:cs="Tahoma"/>
        </w:rPr>
        <w:t>aspekta</w:t>
      </w:r>
      <w:proofErr w:type="spellEnd"/>
      <w:r w:rsidRPr="00653567">
        <w:rPr>
          <w:rFonts w:ascii="Tahoma" w:hAnsi="Tahoma" w:cs="Tahoma"/>
        </w:rPr>
        <w:t xml:space="preserve"> </w:t>
      </w:r>
      <w:proofErr w:type="spellStart"/>
      <w:r w:rsidRPr="00653567">
        <w:rPr>
          <w:rFonts w:ascii="Tahoma" w:hAnsi="Tahoma" w:cs="Tahoma"/>
        </w:rPr>
        <w:t>zaštite</w:t>
      </w:r>
      <w:proofErr w:type="spellEnd"/>
      <w:r w:rsidRPr="00653567">
        <w:rPr>
          <w:rFonts w:ascii="Tahoma" w:hAnsi="Tahoma" w:cs="Tahoma"/>
        </w:rPr>
        <w:t xml:space="preserve"> </w:t>
      </w:r>
      <w:proofErr w:type="spellStart"/>
      <w:r w:rsidRPr="00653567">
        <w:rPr>
          <w:rFonts w:ascii="Tahoma" w:hAnsi="Tahoma" w:cs="Tahoma"/>
        </w:rPr>
        <w:t>podataka</w:t>
      </w:r>
      <w:proofErr w:type="spellEnd"/>
      <w:r w:rsidRPr="00653567">
        <w:rPr>
          <w:rFonts w:ascii="Tahoma" w:hAnsi="Tahoma" w:cs="Tahoma"/>
        </w:rPr>
        <w:t xml:space="preserve"> o </w:t>
      </w:r>
      <w:proofErr w:type="spellStart"/>
      <w:r w:rsidRPr="00653567">
        <w:rPr>
          <w:rFonts w:ascii="Tahoma" w:hAnsi="Tahoma" w:cs="Tahoma"/>
        </w:rPr>
        <w:t>ličnosti</w:t>
      </w:r>
      <w:proofErr w:type="spellEnd"/>
      <w:r w:rsidRPr="00653567">
        <w:rPr>
          <w:rFonts w:ascii="Tahoma" w:hAnsi="Tahoma" w:cs="Tahoma"/>
        </w:rPr>
        <w:t xml:space="preserve">, </w:t>
      </w:r>
      <w:proofErr w:type="spellStart"/>
      <w:r w:rsidRPr="00653567">
        <w:rPr>
          <w:rFonts w:ascii="Tahoma" w:hAnsi="Tahoma" w:cs="Tahoma"/>
        </w:rPr>
        <w:t>član</w:t>
      </w:r>
      <w:proofErr w:type="spellEnd"/>
      <w:r w:rsidRPr="006535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51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2 </w:t>
      </w:r>
      <w:proofErr w:type="spellStart"/>
      <w:r w:rsidR="00CE7362">
        <w:rPr>
          <w:rFonts w:ascii="Tahoma" w:hAnsi="Tahoma" w:cs="Tahoma"/>
        </w:rPr>
        <w:t>Nacrta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EF69A5">
        <w:rPr>
          <w:rFonts w:ascii="Tahoma" w:hAnsi="Tahoma" w:cs="Tahoma"/>
        </w:rPr>
        <w:t>z</w:t>
      </w:r>
      <w:r>
        <w:rPr>
          <w:rFonts w:ascii="Tahoma" w:hAnsi="Tahoma" w:cs="Tahoma"/>
        </w:rPr>
        <w:t>akona</w:t>
      </w:r>
      <w:proofErr w:type="spellEnd"/>
      <w:r w:rsidRPr="006535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</w:t>
      </w:r>
      <w:r w:rsidRPr="00653567">
        <w:rPr>
          <w:rFonts w:ascii="Tahoma" w:hAnsi="Tahoma" w:cs="Tahoma"/>
        </w:rPr>
        <w:t xml:space="preserve"> od </w:t>
      </w:r>
      <w:proofErr w:type="spellStart"/>
      <w:r w:rsidRPr="00653567">
        <w:rPr>
          <w:rFonts w:ascii="Tahoma" w:hAnsi="Tahoma" w:cs="Tahoma"/>
        </w:rPr>
        <w:t>naročitog</w:t>
      </w:r>
      <w:proofErr w:type="spellEnd"/>
      <w:r w:rsidRPr="00653567">
        <w:rPr>
          <w:rFonts w:ascii="Tahoma" w:hAnsi="Tahoma" w:cs="Tahoma"/>
        </w:rPr>
        <w:t xml:space="preserve"> </w:t>
      </w:r>
      <w:proofErr w:type="spellStart"/>
      <w:r w:rsidRPr="00653567">
        <w:rPr>
          <w:rFonts w:ascii="Tahoma" w:hAnsi="Tahoma" w:cs="Tahoma"/>
        </w:rPr>
        <w:t>značaja</w:t>
      </w:r>
      <w:proofErr w:type="spellEnd"/>
      <w:r w:rsidRPr="00653567">
        <w:rPr>
          <w:rFonts w:ascii="Tahoma" w:hAnsi="Tahoma" w:cs="Tahoma"/>
        </w:rPr>
        <w:t xml:space="preserve"> s </w:t>
      </w:r>
      <w:proofErr w:type="spellStart"/>
      <w:r w:rsidRPr="00653567">
        <w:rPr>
          <w:rFonts w:ascii="Tahoma" w:hAnsi="Tahoma" w:cs="Tahoma"/>
        </w:rPr>
        <w:t>obzirom</w:t>
      </w:r>
      <w:proofErr w:type="spellEnd"/>
      <w:r w:rsidRPr="00653567">
        <w:rPr>
          <w:rFonts w:ascii="Tahoma" w:hAnsi="Tahoma" w:cs="Tahoma"/>
        </w:rPr>
        <w:t xml:space="preserve"> da </w:t>
      </w:r>
      <w:proofErr w:type="spellStart"/>
      <w:r w:rsidR="002D14DD">
        <w:rPr>
          <w:rFonts w:ascii="Tahoma" w:hAnsi="Tahoma" w:cs="Tahoma"/>
        </w:rPr>
        <w:t>isti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propisuje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sadržaj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evidencije</w:t>
      </w:r>
      <w:proofErr w:type="spellEnd"/>
      <w:r w:rsidR="002D14DD">
        <w:rPr>
          <w:rFonts w:ascii="Tahoma" w:hAnsi="Tahoma" w:cs="Tahoma"/>
        </w:rPr>
        <w:t xml:space="preserve"> o </w:t>
      </w:r>
      <w:proofErr w:type="spellStart"/>
      <w:r w:rsidR="002D14DD">
        <w:rPr>
          <w:rFonts w:ascii="Tahoma" w:hAnsi="Tahoma" w:cs="Tahoma"/>
        </w:rPr>
        <w:t>iseljenicima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odnosno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lične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podatke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koje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474551">
        <w:rPr>
          <w:rFonts w:ascii="Tahoma" w:hAnsi="Tahoma" w:cs="Tahoma"/>
        </w:rPr>
        <w:t>evidencija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</w:t>
      </w:r>
      <w:r w:rsidR="002D14DD">
        <w:rPr>
          <w:rFonts w:ascii="Tahoma" w:hAnsi="Tahoma" w:cs="Tahoma"/>
        </w:rPr>
        <w:t>bavezno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sadrži</w:t>
      </w:r>
      <w:proofErr w:type="spellEnd"/>
      <w:r w:rsidR="002D14D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to:</w:t>
      </w:r>
      <w:r w:rsidR="0040742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prezime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="002D14DD">
        <w:rPr>
          <w:rFonts w:ascii="Tahoma" w:hAnsi="Tahoma" w:cs="Tahoma"/>
        </w:rPr>
        <w:t>očevo</w:t>
      </w:r>
      <w:proofErr w:type="spellEnd"/>
      <w:r w:rsidR="002D14DD">
        <w:rPr>
          <w:rFonts w:ascii="Tahoma" w:hAnsi="Tahoma" w:cs="Tahoma"/>
        </w:rPr>
        <w:t xml:space="preserve"> </w:t>
      </w:r>
      <w:proofErr w:type="spellStart"/>
      <w:r w:rsidR="002D14DD">
        <w:rPr>
          <w:rFonts w:ascii="Tahoma" w:hAnsi="Tahoma" w:cs="Tahoma"/>
        </w:rPr>
        <w:t>ime</w:t>
      </w:r>
      <w:proofErr w:type="spellEnd"/>
      <w:r w:rsidR="002D14D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pol, datum, </w:t>
      </w:r>
      <w:proofErr w:type="spellStart"/>
      <w:r>
        <w:rPr>
          <w:rFonts w:ascii="Tahoma" w:hAnsi="Tahoma" w:cs="Tahoma"/>
        </w:rPr>
        <w:t>mjesto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</w:t>
      </w:r>
      <w:proofErr w:type="spellEnd"/>
      <w:r>
        <w:rPr>
          <w:rFonts w:ascii="Tahoma" w:hAnsi="Tahoma" w:cs="Tahoma"/>
          <w:lang w:val="sr-Latn-ME"/>
        </w:rPr>
        <w:t>žava rođ</w:t>
      </w:r>
      <w:r w:rsidR="002D14DD">
        <w:rPr>
          <w:rFonts w:ascii="Tahoma" w:hAnsi="Tahoma" w:cs="Tahoma"/>
          <w:lang w:val="sr-Latn-ME"/>
        </w:rPr>
        <w:t xml:space="preserve">enja, jedinstveni matični broj ili lični broj iseljenika, </w:t>
      </w:r>
      <w:r>
        <w:rPr>
          <w:rFonts w:ascii="Tahoma" w:hAnsi="Tahoma" w:cs="Tahoma"/>
          <w:lang w:val="sr-Latn-ME"/>
        </w:rPr>
        <w:t>državljanstvo,</w:t>
      </w:r>
      <w:r w:rsidR="00435503">
        <w:rPr>
          <w:rFonts w:ascii="Tahoma" w:hAnsi="Tahoma" w:cs="Tahoma"/>
          <w:lang w:val="sr-Latn-ME"/>
        </w:rPr>
        <w:t xml:space="preserve"> </w:t>
      </w:r>
      <w:r w:rsidR="002D14DD">
        <w:rPr>
          <w:rFonts w:ascii="Tahoma" w:hAnsi="Tahoma" w:cs="Tahoma"/>
          <w:lang w:val="sr-Latn-ME"/>
        </w:rPr>
        <w:t>država u kojoj radi, adresa stanovanja,</w:t>
      </w:r>
      <w:r>
        <w:rPr>
          <w:rFonts w:ascii="Tahoma" w:hAnsi="Tahoma" w:cs="Tahoma"/>
          <w:lang w:val="sr-Latn-ME"/>
        </w:rPr>
        <w:t xml:space="preserve"> </w:t>
      </w:r>
      <w:r w:rsidR="002D14DD">
        <w:rPr>
          <w:rFonts w:ascii="Tahoma" w:hAnsi="Tahoma" w:cs="Tahoma"/>
          <w:lang w:val="sr-Latn-ME"/>
        </w:rPr>
        <w:t xml:space="preserve">broj djece, </w:t>
      </w:r>
      <w:r w:rsidR="0040742F">
        <w:rPr>
          <w:rFonts w:ascii="Tahoma" w:hAnsi="Tahoma" w:cs="Tahoma"/>
          <w:lang w:val="sr-Latn-ME"/>
        </w:rPr>
        <w:t xml:space="preserve">datum iseljavanja iz Crne Gore, </w:t>
      </w:r>
      <w:r w:rsidR="002D14DD">
        <w:rPr>
          <w:rFonts w:ascii="Tahoma" w:hAnsi="Tahoma" w:cs="Tahoma"/>
          <w:lang w:val="sr-Latn-ME"/>
        </w:rPr>
        <w:t xml:space="preserve">mjesto porijekla </w:t>
      </w:r>
      <w:r w:rsidR="00435503">
        <w:rPr>
          <w:rFonts w:ascii="Tahoma" w:hAnsi="Tahoma" w:cs="Tahoma"/>
          <w:lang w:val="sr-Latn-ME"/>
        </w:rPr>
        <w:t xml:space="preserve">i </w:t>
      </w:r>
      <w:r w:rsidR="0040742F">
        <w:rPr>
          <w:rFonts w:ascii="Tahoma" w:hAnsi="Tahoma" w:cs="Tahoma"/>
          <w:lang w:val="sr-Latn-ME"/>
        </w:rPr>
        <w:t>članstvo u organizacijama iseljenika.</w:t>
      </w:r>
      <w:proofErr w:type="gramEnd"/>
      <w:r w:rsidR="0040742F">
        <w:rPr>
          <w:rFonts w:ascii="Tahoma" w:hAnsi="Tahoma" w:cs="Tahoma"/>
          <w:lang w:val="sr-Latn-ME"/>
        </w:rPr>
        <w:t xml:space="preserve"> </w:t>
      </w:r>
    </w:p>
    <w:p w:rsidR="00CB217E" w:rsidRPr="0040742F" w:rsidRDefault="0040742F" w:rsidP="00CB217E">
      <w:pPr>
        <w:pStyle w:val="Default"/>
        <w:spacing w:line="276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Dalje se u stavu 3 navodi da evidencija o iseljenicima </w:t>
      </w:r>
      <w:r w:rsidRPr="00CE2F57">
        <w:rPr>
          <w:rFonts w:ascii="Tahoma" w:hAnsi="Tahoma" w:cs="Tahoma"/>
          <w:lang w:val="sr-Latn-ME"/>
        </w:rPr>
        <w:t>može</w:t>
      </w:r>
      <w:r w:rsidRPr="0040742F">
        <w:rPr>
          <w:rFonts w:ascii="Tahoma" w:hAnsi="Tahoma" w:cs="Tahoma"/>
          <w:b/>
          <w:lang w:val="sr-Latn-ME"/>
        </w:rPr>
        <w:t xml:space="preserve"> </w:t>
      </w:r>
      <w:r>
        <w:rPr>
          <w:rFonts w:ascii="Tahoma" w:hAnsi="Tahoma" w:cs="Tahoma"/>
          <w:lang w:val="sr-Latn-ME"/>
        </w:rPr>
        <w:t xml:space="preserve">da sadrži i </w:t>
      </w:r>
      <w:r w:rsidR="002D14DD">
        <w:rPr>
          <w:rFonts w:ascii="Tahoma" w:hAnsi="Tahoma" w:cs="Tahoma"/>
          <w:lang w:val="sr-Latn-ME"/>
        </w:rPr>
        <w:t>druge podatke koji se obrađuju uz prethodnu saglasnost lica na koje se podaci odnose.</w:t>
      </w:r>
    </w:p>
    <w:p w:rsidR="00117E26" w:rsidRDefault="00117E26" w:rsidP="00117E2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4258F" w:rsidRDefault="00BF4496" w:rsidP="00117E26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Članom</w:t>
      </w:r>
      <w:r w:rsidR="00117E2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2 Zakona o za</w:t>
      </w:r>
      <w:r w:rsidR="00117E26" w:rsidRPr="00D32F39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štiti podataka o ličnosti</w:t>
      </w:r>
      <w:r w:rsidR="001B5CD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(</w:t>
      </w:r>
      <w:r w:rsidR="0098430D">
        <w:rPr>
          <w:rFonts w:ascii="Tahoma" w:hAnsi="Tahoma" w:cs="Tahoma"/>
          <w:sz w:val="24"/>
          <w:szCs w:val="24"/>
          <w:lang w:val="sr-Latn-ME"/>
        </w:rPr>
        <w:t>ZZP</w:t>
      </w:r>
      <w:r w:rsidR="001B5CD6">
        <w:rPr>
          <w:rFonts w:ascii="Tahoma" w:hAnsi="Tahoma" w:cs="Tahoma"/>
          <w:sz w:val="24"/>
          <w:szCs w:val="24"/>
          <w:lang w:val="sr-Latn-ME"/>
        </w:rPr>
        <w:t>L)</w:t>
      </w:r>
      <w:r w:rsidR="00117E2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="0081476C">
        <w:rPr>
          <w:rFonts w:ascii="Tahoma" w:hAnsi="Tahoma" w:cs="Tahoma"/>
          <w:sz w:val="24"/>
          <w:szCs w:val="24"/>
          <w:lang w:val="sr-Latn-ME"/>
        </w:rPr>
        <w:t>propisano je da se</w:t>
      </w:r>
      <w:r w:rsidR="00117E26">
        <w:rPr>
          <w:rFonts w:ascii="Tahoma" w:hAnsi="Tahoma" w:cs="Tahoma"/>
          <w:sz w:val="24"/>
          <w:szCs w:val="24"/>
          <w:lang w:val="sr-Latn-ME"/>
        </w:rPr>
        <w:t xml:space="preserve"> lični podaci mo</w:t>
      </w:r>
      <w:r>
        <w:rPr>
          <w:rFonts w:ascii="Tahoma" w:hAnsi="Tahoma" w:cs="Tahoma"/>
          <w:sz w:val="24"/>
          <w:szCs w:val="24"/>
          <w:lang w:val="sr-Latn-ME"/>
        </w:rPr>
        <w:t>raju</w:t>
      </w:r>
      <w:r w:rsidR="00117E26">
        <w:rPr>
          <w:rFonts w:ascii="Tahoma" w:hAnsi="Tahoma" w:cs="Tahoma"/>
          <w:sz w:val="24"/>
          <w:szCs w:val="24"/>
          <w:lang w:val="sr-Latn-ME"/>
        </w:rPr>
        <w:t xml:space="preserve"> obrađivati na pošten i zakonit način i ne mogu se obrađivati u većem obimu nego što je potrebno da bi se postigla svrha obrade niti na način koji nije u skladu sa njihovom namjenom. </w:t>
      </w:r>
    </w:p>
    <w:p w:rsidR="00117E26" w:rsidRDefault="00117E26" w:rsidP="00117E26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 slučaju kad su namjena ličnih podataka i način njihove obrade propisani zakonom, rukovalac zbirke ličnih podataka</w:t>
      </w:r>
      <w:r w:rsidR="0034258F">
        <w:rPr>
          <w:rFonts w:ascii="Tahoma" w:hAnsi="Tahoma" w:cs="Tahoma"/>
          <w:sz w:val="24"/>
          <w:szCs w:val="24"/>
          <w:lang w:val="sr-Latn-ME"/>
        </w:rPr>
        <w:t xml:space="preserve">, u konkretnom slučaju Uprava za dijasporu, </w:t>
      </w:r>
      <w:r>
        <w:rPr>
          <w:rFonts w:ascii="Tahoma" w:hAnsi="Tahoma" w:cs="Tahoma"/>
          <w:sz w:val="24"/>
          <w:szCs w:val="24"/>
          <w:lang w:val="sr-Latn-ME"/>
        </w:rPr>
        <w:t xml:space="preserve"> od</w:t>
      </w:r>
      <w:r w:rsidR="0098430D">
        <w:rPr>
          <w:rFonts w:ascii="Tahoma" w:hAnsi="Tahoma" w:cs="Tahoma"/>
          <w:sz w:val="24"/>
          <w:szCs w:val="24"/>
          <w:lang w:val="sr-Latn-ME"/>
        </w:rPr>
        <w:t>ređuje se tim zakonom (član 6 ZZP</w:t>
      </w:r>
      <w:r>
        <w:rPr>
          <w:rFonts w:ascii="Tahoma" w:hAnsi="Tahoma" w:cs="Tahoma"/>
          <w:sz w:val="24"/>
          <w:szCs w:val="24"/>
          <w:lang w:val="sr-Latn-ME"/>
        </w:rPr>
        <w:t>L).</w:t>
      </w:r>
      <w:r w:rsidR="0081476C">
        <w:rPr>
          <w:rFonts w:ascii="Tahoma" w:hAnsi="Tahoma" w:cs="Tahoma"/>
          <w:sz w:val="24"/>
          <w:szCs w:val="24"/>
          <w:lang w:val="sr-Latn-ME"/>
        </w:rPr>
        <w:t xml:space="preserve"> Dakle, od posebnog je značaja zakonom utvrditi svrhu za koju se lični podaci obrađuju. Na osnovu dostavljenog </w:t>
      </w:r>
      <w:r w:rsidR="00EF69A5">
        <w:rPr>
          <w:rFonts w:ascii="Tahoma" w:hAnsi="Tahoma" w:cs="Tahoma"/>
          <w:sz w:val="24"/>
          <w:szCs w:val="24"/>
          <w:lang w:val="sr-Latn-ME"/>
        </w:rPr>
        <w:t>Nacrta z</w:t>
      </w:r>
      <w:r w:rsidR="0081476C">
        <w:rPr>
          <w:rFonts w:ascii="Tahoma" w:hAnsi="Tahoma" w:cs="Tahoma"/>
          <w:sz w:val="24"/>
          <w:szCs w:val="24"/>
          <w:lang w:val="sr-Latn-ME"/>
        </w:rPr>
        <w:t xml:space="preserve">akona može </w:t>
      </w:r>
      <w:r w:rsidR="00CE2F57">
        <w:rPr>
          <w:rFonts w:ascii="Tahoma" w:hAnsi="Tahoma" w:cs="Tahoma"/>
          <w:sz w:val="24"/>
          <w:szCs w:val="24"/>
          <w:lang w:val="sr-Latn-ME"/>
        </w:rPr>
        <w:t xml:space="preserve">se </w:t>
      </w:r>
      <w:r w:rsidR="001B5CD6">
        <w:rPr>
          <w:rFonts w:ascii="Tahoma" w:hAnsi="Tahoma" w:cs="Tahoma"/>
          <w:sz w:val="24"/>
          <w:szCs w:val="24"/>
          <w:lang w:val="sr-Latn-ME"/>
        </w:rPr>
        <w:t xml:space="preserve">zaključiti </w:t>
      </w:r>
      <w:r w:rsidR="0081476C">
        <w:rPr>
          <w:rFonts w:ascii="Tahoma" w:hAnsi="Tahoma" w:cs="Tahoma"/>
          <w:sz w:val="24"/>
          <w:szCs w:val="24"/>
          <w:lang w:val="sr-Latn-ME"/>
        </w:rPr>
        <w:t>da se podaci iz evidencije o iseljenicima obrađuju i koriste u svrhe očuvanja državnog identite</w:t>
      </w:r>
      <w:r w:rsidR="001D0752">
        <w:rPr>
          <w:rFonts w:ascii="Tahoma" w:hAnsi="Tahoma" w:cs="Tahoma"/>
          <w:sz w:val="24"/>
          <w:szCs w:val="24"/>
          <w:lang w:val="sr-Latn-ME"/>
        </w:rPr>
        <w:t>ta</w:t>
      </w:r>
      <w:r w:rsidR="0081476C">
        <w:rPr>
          <w:rFonts w:ascii="Tahoma" w:hAnsi="Tahoma" w:cs="Tahoma"/>
          <w:sz w:val="24"/>
          <w:szCs w:val="24"/>
          <w:lang w:val="sr-Latn-ME"/>
        </w:rPr>
        <w:t xml:space="preserve"> i pripadnosti Crnoj Gori, očuvanja kulturnog identiteta, jačanja obrazovne, naučne, kulturne i sportske saradnje, informisanja i povezivanja, zaštite prava i položaja iseljenika kao i unapređenja privrednog partnerstva.</w:t>
      </w:r>
    </w:p>
    <w:p w:rsidR="00435503" w:rsidRDefault="0034258F" w:rsidP="0034258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Cijeneći član 51 stav 2 </w:t>
      </w:r>
      <w:r w:rsidR="00EF69A5">
        <w:rPr>
          <w:rFonts w:ascii="Tahoma" w:hAnsi="Tahoma" w:cs="Tahoma"/>
          <w:sz w:val="24"/>
          <w:szCs w:val="24"/>
          <w:lang w:val="sr-Latn-ME"/>
        </w:rPr>
        <w:t>Nacrta z</w:t>
      </w:r>
      <w:r>
        <w:rPr>
          <w:rFonts w:ascii="Tahoma" w:hAnsi="Tahoma" w:cs="Tahoma"/>
          <w:sz w:val="24"/>
          <w:szCs w:val="24"/>
          <w:lang w:val="sr-Latn-ME"/>
        </w:rPr>
        <w:t xml:space="preserve">akona o saradnji Crne Gore sa iseljenicima, Savjet Agencije smatra da evidencija o iseljenicima </w:t>
      </w:r>
      <w:r w:rsidR="00CE7362">
        <w:rPr>
          <w:rFonts w:ascii="Tahoma" w:hAnsi="Tahoma" w:cs="Tahoma"/>
          <w:sz w:val="24"/>
          <w:szCs w:val="24"/>
          <w:lang w:val="sr-Latn-ME"/>
        </w:rPr>
        <w:t xml:space="preserve">ne treba obavezno da </w:t>
      </w:r>
      <w:r>
        <w:rPr>
          <w:rFonts w:ascii="Tahoma" w:hAnsi="Tahoma" w:cs="Tahoma"/>
          <w:sz w:val="24"/>
          <w:szCs w:val="24"/>
          <w:lang w:val="sr-Latn-ME"/>
        </w:rPr>
        <w:t xml:space="preserve">sadrži </w:t>
      </w:r>
      <w:r w:rsidR="00CE7362">
        <w:rPr>
          <w:rFonts w:ascii="Tahoma" w:hAnsi="Tahoma" w:cs="Tahoma"/>
          <w:sz w:val="24"/>
          <w:szCs w:val="24"/>
          <w:lang w:val="sr-Latn-ME"/>
        </w:rPr>
        <w:t>jedinstveni matični broj odnosno lični broj iseljenika jer se</w:t>
      </w:r>
      <w:r w:rsidR="00EF69A5">
        <w:rPr>
          <w:rFonts w:ascii="Tahoma" w:hAnsi="Tahoma" w:cs="Tahoma"/>
          <w:sz w:val="24"/>
          <w:szCs w:val="24"/>
          <w:lang w:val="sr-Latn-ME"/>
        </w:rPr>
        <w:t xml:space="preserve"> i bez navođenja ovih podataka može ostvariti </w:t>
      </w:r>
      <w:r w:rsidR="00CE7362">
        <w:rPr>
          <w:rFonts w:ascii="Tahoma" w:hAnsi="Tahoma" w:cs="Tahoma"/>
          <w:sz w:val="24"/>
          <w:szCs w:val="24"/>
          <w:lang w:val="sr-Latn-ME"/>
        </w:rPr>
        <w:t xml:space="preserve">svrha </w:t>
      </w:r>
      <w:r w:rsidR="00EF69A5">
        <w:rPr>
          <w:rFonts w:ascii="Tahoma" w:hAnsi="Tahoma" w:cs="Tahoma"/>
          <w:sz w:val="24"/>
          <w:szCs w:val="24"/>
          <w:lang w:val="sr-Latn-ME"/>
        </w:rPr>
        <w:t>za koju se podaci obrađuju.</w:t>
      </w:r>
      <w:r w:rsidR="00D25794">
        <w:rPr>
          <w:rFonts w:ascii="Tahoma" w:hAnsi="Tahoma" w:cs="Tahoma"/>
          <w:sz w:val="24"/>
          <w:szCs w:val="24"/>
          <w:lang w:val="sr-Latn-ME"/>
        </w:rPr>
        <w:t xml:space="preserve"> Tim prije što se predmetni podaci prikupljaju na dobrovoljnoj osnovi, najprepoznatljiviji identifikacioni podatak ne treba da bude zakonska obaveza već dio stava 3 člana 51.</w:t>
      </w:r>
    </w:p>
    <w:p w:rsidR="00CE7362" w:rsidRDefault="00CE7362" w:rsidP="0034258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8503A" w:rsidRDefault="00CE7362" w:rsidP="0018503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P</w:t>
      </w:r>
      <w:r w:rsidR="001D0752">
        <w:rPr>
          <w:rFonts w:ascii="Tahoma" w:hAnsi="Tahoma" w:cs="Tahoma"/>
          <w:sz w:val="24"/>
          <w:szCs w:val="24"/>
          <w:lang w:val="sr-Latn-ME"/>
        </w:rPr>
        <w:t>odaci o iseljenicima koji s</w:t>
      </w:r>
      <w:r w:rsidR="00435503">
        <w:rPr>
          <w:rFonts w:ascii="Tahoma" w:hAnsi="Tahoma" w:cs="Tahoma"/>
          <w:sz w:val="24"/>
          <w:szCs w:val="24"/>
          <w:lang w:val="sr-Latn-ME"/>
        </w:rPr>
        <w:t>e mogu obrađivati saglasno</w:t>
      </w:r>
      <w:r w:rsidR="001D0752">
        <w:rPr>
          <w:rFonts w:ascii="Tahoma" w:hAnsi="Tahoma" w:cs="Tahoma"/>
          <w:sz w:val="24"/>
          <w:szCs w:val="24"/>
          <w:lang w:val="sr-Latn-ME"/>
        </w:rPr>
        <w:t xml:space="preserve"> članu 51 stav 3 </w:t>
      </w:r>
      <w:r>
        <w:rPr>
          <w:rFonts w:ascii="Tahoma" w:hAnsi="Tahoma" w:cs="Tahoma"/>
          <w:sz w:val="24"/>
          <w:szCs w:val="24"/>
          <w:lang w:val="sr-Latn-ME"/>
        </w:rPr>
        <w:t>Nacrta</w:t>
      </w:r>
      <w:r w:rsidR="001D0752">
        <w:rPr>
          <w:rFonts w:ascii="Tahoma" w:hAnsi="Tahoma" w:cs="Tahoma"/>
          <w:sz w:val="24"/>
          <w:szCs w:val="24"/>
          <w:lang w:val="sr-Latn-ME"/>
        </w:rPr>
        <w:t xml:space="preserve"> zakona nijesu obavezni, što znači da mogu ali ne moraju biti sastavni dio evidencije. Bitno je istaći da </w:t>
      </w:r>
      <w:r w:rsidR="00435503">
        <w:rPr>
          <w:rFonts w:ascii="Tahoma" w:hAnsi="Tahoma" w:cs="Tahoma"/>
          <w:sz w:val="24"/>
          <w:szCs w:val="24"/>
          <w:lang w:val="sr-Latn-ME"/>
        </w:rPr>
        <w:t>ukoliko dođe do obrade ličnih podataka koji sh</w:t>
      </w:r>
      <w:r w:rsidR="0018503A">
        <w:rPr>
          <w:rFonts w:ascii="Tahoma" w:hAnsi="Tahoma" w:cs="Tahoma"/>
          <w:sz w:val="24"/>
          <w:szCs w:val="24"/>
          <w:lang w:val="sr-Latn-ME"/>
        </w:rPr>
        <w:t>o</w:t>
      </w:r>
      <w:r w:rsidR="001D0752">
        <w:rPr>
          <w:rFonts w:ascii="Tahoma" w:hAnsi="Tahoma" w:cs="Tahoma"/>
          <w:sz w:val="24"/>
          <w:szCs w:val="24"/>
          <w:lang w:val="sr-Latn-ME"/>
        </w:rPr>
        <w:t>dno članu 9 stav 1 tačka 7 Zakona o zaštiti podataka o ličnosti predstavljaju pos</w:t>
      </w:r>
      <w:r w:rsidR="0018503A">
        <w:rPr>
          <w:rFonts w:ascii="Tahoma" w:hAnsi="Tahoma" w:cs="Tahoma"/>
          <w:sz w:val="24"/>
          <w:szCs w:val="24"/>
          <w:lang w:val="sr-Latn-ME"/>
        </w:rPr>
        <w:t xml:space="preserve">ebnu kategoriju ličnih podataka, </w:t>
      </w:r>
      <w:r w:rsidR="00435503">
        <w:rPr>
          <w:rFonts w:ascii="Tahoma" w:hAnsi="Tahoma" w:cs="Tahoma"/>
          <w:sz w:val="24"/>
          <w:szCs w:val="24"/>
          <w:lang w:val="sr-Latn-ME"/>
        </w:rPr>
        <w:t>isti</w:t>
      </w:r>
      <w:r w:rsidR="001D0752">
        <w:rPr>
          <w:rFonts w:ascii="Tahoma" w:hAnsi="Tahoma" w:cs="Tahoma"/>
          <w:sz w:val="24"/>
          <w:szCs w:val="24"/>
          <w:lang w:val="sr-Latn-ME"/>
        </w:rPr>
        <w:t xml:space="preserve"> se saglasnosno članu 13 ovog Zakona </w:t>
      </w:r>
      <w:r w:rsidR="00435503">
        <w:rPr>
          <w:rFonts w:ascii="Tahoma" w:hAnsi="Tahoma" w:cs="Tahoma"/>
          <w:sz w:val="24"/>
          <w:szCs w:val="24"/>
          <w:lang w:val="sr-Latn-ME"/>
        </w:rPr>
        <w:t xml:space="preserve">moraju </w:t>
      </w:r>
      <w:r w:rsidR="001D0752">
        <w:rPr>
          <w:rFonts w:ascii="Tahoma" w:hAnsi="Tahoma" w:cs="Tahoma"/>
          <w:sz w:val="24"/>
          <w:szCs w:val="24"/>
          <w:lang w:val="sr-Latn-ME"/>
        </w:rPr>
        <w:t>posebno označ</w:t>
      </w:r>
      <w:r w:rsidR="00435503">
        <w:rPr>
          <w:rFonts w:ascii="Tahoma" w:hAnsi="Tahoma" w:cs="Tahoma"/>
          <w:sz w:val="24"/>
          <w:szCs w:val="24"/>
          <w:lang w:val="sr-Latn-ME"/>
        </w:rPr>
        <w:t>iti i štititi</w:t>
      </w:r>
      <w:r w:rsidR="001D0752">
        <w:rPr>
          <w:rFonts w:ascii="Tahoma" w:hAnsi="Tahoma" w:cs="Tahoma"/>
          <w:sz w:val="24"/>
          <w:szCs w:val="24"/>
          <w:lang w:val="sr-Latn-ME"/>
        </w:rPr>
        <w:t xml:space="preserve"> radi </w:t>
      </w:r>
      <w:r w:rsidR="001D0752">
        <w:rPr>
          <w:rFonts w:ascii="Tahoma" w:hAnsi="Tahoma" w:cs="Tahoma"/>
          <w:sz w:val="24"/>
          <w:szCs w:val="24"/>
          <w:lang w:val="sr-Latn-ME"/>
        </w:rPr>
        <w:lastRenderedPageBreak/>
        <w:t>sprječavanja neovlašćenog pristupa tim podacima. Saglasnost je slobodno data izjava volje u pisanoj formi ili usmeno na zapisnik, kojom lice nakon što je informisano o namjeni obrade, izražava pristanak da se njegovi lični podaci obrađuju za određenu namjenu (član 9 stav 1 tačka 6) i može se opozvati</w:t>
      </w:r>
      <w:r w:rsidR="0018503A">
        <w:rPr>
          <w:rFonts w:ascii="Tahoma" w:hAnsi="Tahoma" w:cs="Tahoma"/>
          <w:sz w:val="24"/>
          <w:szCs w:val="24"/>
          <w:lang w:val="sr-Latn-ME"/>
        </w:rPr>
        <w:t xml:space="preserve"> u svakom trenutku (član 10 st.</w:t>
      </w:r>
      <w:r w:rsidR="001D0752">
        <w:rPr>
          <w:rFonts w:ascii="Tahoma" w:hAnsi="Tahoma" w:cs="Tahoma"/>
          <w:sz w:val="24"/>
          <w:szCs w:val="24"/>
          <w:lang w:val="sr-Latn-ME"/>
        </w:rPr>
        <w:t xml:space="preserve"> 1).</w:t>
      </w:r>
      <w:r w:rsidR="00CE2F57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18503A" w:rsidRDefault="0018503A" w:rsidP="0018503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35503" w:rsidRDefault="00435503" w:rsidP="0034258F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Članom 52 </w:t>
      </w:r>
      <w:r w:rsidR="00CE7362">
        <w:rPr>
          <w:rFonts w:ascii="Tahoma" w:hAnsi="Tahoma" w:cs="Tahoma"/>
          <w:sz w:val="24"/>
          <w:szCs w:val="24"/>
          <w:lang w:val="sr-Latn-ME"/>
        </w:rPr>
        <w:t>Nacrta</w:t>
      </w:r>
      <w:r w:rsidR="00EF69A5">
        <w:rPr>
          <w:rFonts w:ascii="Tahoma" w:hAnsi="Tahoma" w:cs="Tahoma"/>
          <w:sz w:val="24"/>
          <w:szCs w:val="24"/>
          <w:lang w:val="sr-Latn-ME"/>
        </w:rPr>
        <w:t xml:space="preserve"> z</w:t>
      </w:r>
      <w:r>
        <w:rPr>
          <w:rFonts w:ascii="Tahoma" w:hAnsi="Tahoma" w:cs="Tahoma"/>
          <w:sz w:val="24"/>
          <w:szCs w:val="24"/>
          <w:lang w:val="sr-Latn-ME"/>
        </w:rPr>
        <w:t>akona propisani su izvori i obrada podataka. U stavu 3 predmetnog člana predviđeno je da će se na lične podatke u evidenciji iz člana 51 primjenjivati odredbe zakona kojim se uređuje zaštita podataka o ličnosti.</w:t>
      </w:r>
    </w:p>
    <w:p w:rsidR="00EA5A42" w:rsidRPr="00EA5A42" w:rsidRDefault="00435503" w:rsidP="00EA5A42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 obzirom da će obrada ličnih podataka biti vršena elektronskim putem, rukovalac zbirke Uprava za dijasporu, </w:t>
      </w:r>
      <w:r w:rsidR="00EA5A42">
        <w:rPr>
          <w:rFonts w:ascii="Tahoma" w:hAnsi="Tahoma" w:cs="Tahoma"/>
          <w:sz w:val="24"/>
          <w:szCs w:val="24"/>
          <w:lang w:val="sr-Latn-ME"/>
        </w:rPr>
        <w:t xml:space="preserve">obavezna je da primijeni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kadrovske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organizacione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i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tehničke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mjere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zaštite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ličnih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podataka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radi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zaštite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od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gubitka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uništenja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nedopuštenog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pristupa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promjene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obja</w:t>
      </w:r>
      <w:r w:rsidR="00EA5A42">
        <w:rPr>
          <w:rFonts w:ascii="Tahoma" w:hAnsi="Tahoma" w:cs="Tahoma"/>
          <w:sz w:val="24"/>
          <w:szCs w:val="24"/>
        </w:rPr>
        <w:t>vljivanja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5A42">
        <w:rPr>
          <w:rFonts w:ascii="Tahoma" w:hAnsi="Tahoma" w:cs="Tahoma"/>
          <w:sz w:val="24"/>
          <w:szCs w:val="24"/>
        </w:rPr>
        <w:t>kao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>
        <w:rPr>
          <w:rFonts w:ascii="Tahoma" w:hAnsi="Tahoma" w:cs="Tahoma"/>
          <w:sz w:val="24"/>
          <w:szCs w:val="24"/>
        </w:rPr>
        <w:t>i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EA5A42">
        <w:rPr>
          <w:rFonts w:ascii="Tahoma" w:hAnsi="Tahoma" w:cs="Tahoma"/>
          <w:sz w:val="24"/>
          <w:szCs w:val="24"/>
        </w:rPr>
        <w:t>zloupotrebe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>
        <w:rPr>
          <w:rFonts w:ascii="Tahoma" w:hAnsi="Tahoma" w:cs="Tahoma"/>
          <w:sz w:val="24"/>
          <w:szCs w:val="24"/>
        </w:rPr>
        <w:t>koje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>
        <w:rPr>
          <w:rFonts w:ascii="Tahoma" w:hAnsi="Tahoma" w:cs="Tahoma"/>
          <w:sz w:val="24"/>
          <w:szCs w:val="24"/>
        </w:rPr>
        <w:t>su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bCs/>
          <w:color w:val="000000"/>
          <w:sz w:val="24"/>
          <w:szCs w:val="24"/>
        </w:rPr>
        <w:t>propisane</w:t>
      </w:r>
      <w:proofErr w:type="spellEnd"/>
      <w:r w:rsidR="00EA5A42" w:rsidRPr="00EA5A4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bCs/>
          <w:color w:val="000000"/>
          <w:sz w:val="24"/>
          <w:szCs w:val="24"/>
        </w:rPr>
        <w:t>članom</w:t>
      </w:r>
      <w:proofErr w:type="spellEnd"/>
      <w:r w:rsidR="00EA5A42" w:rsidRPr="00EA5A42">
        <w:rPr>
          <w:rFonts w:ascii="Tahoma" w:hAnsi="Tahoma" w:cs="Tahoma"/>
          <w:bCs/>
          <w:color w:val="000000"/>
          <w:sz w:val="24"/>
          <w:szCs w:val="24"/>
        </w:rPr>
        <w:t xml:space="preserve"> 24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Zakona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zaštiti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podataka</w:t>
      </w:r>
      <w:proofErr w:type="spellEnd"/>
      <w:r w:rsidR="00EA5A42" w:rsidRPr="00EA5A4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A5A42" w:rsidRPr="00EA5A42">
        <w:rPr>
          <w:rFonts w:ascii="Tahoma" w:hAnsi="Tahoma" w:cs="Tahoma"/>
          <w:sz w:val="24"/>
          <w:szCs w:val="24"/>
        </w:rPr>
        <w:t>ličnosti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5A42">
        <w:rPr>
          <w:rFonts w:ascii="Tahoma" w:hAnsi="Tahoma" w:cs="Tahoma"/>
          <w:sz w:val="24"/>
          <w:szCs w:val="24"/>
        </w:rPr>
        <w:t>i</w:t>
      </w:r>
      <w:proofErr w:type="spellEnd"/>
      <w:r w:rsidR="00EA5A42">
        <w:rPr>
          <w:rFonts w:ascii="Tahoma" w:hAnsi="Tahoma" w:cs="Tahoma"/>
          <w:sz w:val="24"/>
          <w:szCs w:val="24"/>
        </w:rPr>
        <w:t xml:space="preserve"> </w:t>
      </w:r>
      <w:r w:rsidR="00EA5A42">
        <w:rPr>
          <w:rFonts w:ascii="Tahoma" w:hAnsi="Tahoma" w:cs="Tahoma"/>
          <w:sz w:val="24"/>
          <w:szCs w:val="24"/>
          <w:lang w:val="sr-Latn-ME"/>
        </w:rPr>
        <w:t>odgovorna je za tačnost i ažurnost podataka sadržanih u evidenciji</w:t>
      </w:r>
      <w:r w:rsidR="0018503A">
        <w:rPr>
          <w:rFonts w:ascii="Tahoma" w:hAnsi="Tahoma" w:cs="Tahoma"/>
          <w:sz w:val="24"/>
          <w:szCs w:val="24"/>
          <w:lang w:val="sr-Latn-ME"/>
        </w:rPr>
        <w:t>,</w:t>
      </w:r>
      <w:r w:rsidR="00EA5A42">
        <w:rPr>
          <w:rFonts w:ascii="Tahoma" w:hAnsi="Tahoma" w:cs="Tahoma"/>
          <w:sz w:val="24"/>
          <w:szCs w:val="24"/>
          <w:lang w:val="sr-Latn-ME"/>
        </w:rPr>
        <w:t xml:space="preserve"> u smislu člana 22 ZZPL.</w:t>
      </w:r>
    </w:p>
    <w:p w:rsidR="00EA5A42" w:rsidRPr="00F40A52" w:rsidRDefault="00EA5A42" w:rsidP="00EA5A42">
      <w:pPr>
        <w:spacing w:after="0"/>
        <w:jc w:val="both"/>
        <w:rPr>
          <w:rFonts w:ascii="Tahoma" w:hAnsi="Tahoma" w:cs="Tahoma"/>
          <w:b/>
        </w:rPr>
      </w:pPr>
    </w:p>
    <w:p w:rsidR="00117E26" w:rsidRDefault="00117E26" w:rsidP="00117E26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117E26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dispozitivu.</w:t>
      </w:r>
    </w:p>
    <w:p w:rsidR="001B5CD6" w:rsidRPr="00CF3A99" w:rsidRDefault="001B5CD6" w:rsidP="00117E26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117E26" w:rsidRPr="00D32F39" w:rsidRDefault="00117E26" w:rsidP="00117E2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Pr="00363181" w:rsidRDefault="00117E26" w:rsidP="00117E26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117E26" w:rsidRPr="00D32F39" w:rsidRDefault="00117E26" w:rsidP="00117E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Pr="00B01E03" w:rsidRDefault="00117E26" w:rsidP="00117E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117E26" w:rsidRPr="00CF3A99" w:rsidRDefault="00117E26" w:rsidP="00117E26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117E26" w:rsidRPr="00CF3A99" w:rsidRDefault="00117E26" w:rsidP="00117E26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117E26" w:rsidRPr="00CF3A99" w:rsidRDefault="00117E26" w:rsidP="00117E26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117E26" w:rsidRPr="00D32F39" w:rsidRDefault="00117E26" w:rsidP="00117E26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2F1EDB" w:rsidRPr="002F1EDB" w:rsidRDefault="002F1EDB" w:rsidP="002F1EDB">
      <w:pPr>
        <w:rPr>
          <w:rFonts w:ascii="Tahoma" w:hAnsi="Tahoma" w:cs="Tahoma"/>
          <w:sz w:val="24"/>
          <w:szCs w:val="24"/>
        </w:rPr>
      </w:pPr>
    </w:p>
    <w:p w:rsidR="002F1EDB" w:rsidRPr="002F1EDB" w:rsidRDefault="002F1EDB" w:rsidP="002F1EDB">
      <w:pPr>
        <w:rPr>
          <w:rFonts w:ascii="Tahoma" w:hAnsi="Tahoma" w:cs="Tahoma"/>
          <w:sz w:val="24"/>
          <w:szCs w:val="24"/>
        </w:rPr>
      </w:pPr>
    </w:p>
    <w:p w:rsidR="002F1EDB" w:rsidRPr="002F1EDB" w:rsidRDefault="002F1EDB" w:rsidP="002F1EDB">
      <w:pPr>
        <w:rPr>
          <w:rFonts w:ascii="Tahoma" w:hAnsi="Tahoma" w:cs="Tahoma"/>
          <w:sz w:val="24"/>
          <w:szCs w:val="24"/>
        </w:rPr>
      </w:pPr>
    </w:p>
    <w:p w:rsidR="007648BB" w:rsidRPr="002F1EDB" w:rsidRDefault="007648BB" w:rsidP="002F1EDB">
      <w:pPr>
        <w:tabs>
          <w:tab w:val="left" w:pos="3735"/>
        </w:tabs>
        <w:rPr>
          <w:rFonts w:ascii="Tahoma" w:hAnsi="Tahoma" w:cs="Tahoma"/>
          <w:sz w:val="24"/>
          <w:szCs w:val="24"/>
        </w:rPr>
      </w:pPr>
    </w:p>
    <w:sectPr w:rsidR="007648BB" w:rsidRPr="002F1EDB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71" w:rsidRDefault="00153671" w:rsidP="00CB7F9A">
      <w:pPr>
        <w:spacing w:after="0" w:line="240" w:lineRule="auto"/>
      </w:pPr>
      <w:r>
        <w:separator/>
      </w:r>
    </w:p>
  </w:endnote>
  <w:endnote w:type="continuationSeparator" w:id="0">
    <w:p w:rsidR="00153671" w:rsidRDefault="0015367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71" w:rsidRDefault="00153671" w:rsidP="00CB7F9A">
      <w:pPr>
        <w:spacing w:after="0" w:line="240" w:lineRule="auto"/>
      </w:pPr>
      <w:r>
        <w:separator/>
      </w:r>
    </w:p>
  </w:footnote>
  <w:footnote w:type="continuationSeparator" w:id="0">
    <w:p w:rsidR="00153671" w:rsidRDefault="0015367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0182"/>
    <w:rsid w:val="00004FA5"/>
    <w:rsid w:val="0002102C"/>
    <w:rsid w:val="00024646"/>
    <w:rsid w:val="00065AEA"/>
    <w:rsid w:val="00067C4C"/>
    <w:rsid w:val="00072AFB"/>
    <w:rsid w:val="00075B9A"/>
    <w:rsid w:val="00097025"/>
    <w:rsid w:val="000D0F0B"/>
    <w:rsid w:val="000D5AEF"/>
    <w:rsid w:val="0011170C"/>
    <w:rsid w:val="001131DD"/>
    <w:rsid w:val="00114C29"/>
    <w:rsid w:val="00117E26"/>
    <w:rsid w:val="0014188E"/>
    <w:rsid w:val="00153118"/>
    <w:rsid w:val="00153671"/>
    <w:rsid w:val="00155DE7"/>
    <w:rsid w:val="00167CB6"/>
    <w:rsid w:val="001711DD"/>
    <w:rsid w:val="00175942"/>
    <w:rsid w:val="0018503A"/>
    <w:rsid w:val="00186F5F"/>
    <w:rsid w:val="001A5EEE"/>
    <w:rsid w:val="001B5CD6"/>
    <w:rsid w:val="001C0B45"/>
    <w:rsid w:val="001C2DCA"/>
    <w:rsid w:val="001C659C"/>
    <w:rsid w:val="001C7CAF"/>
    <w:rsid w:val="001D0752"/>
    <w:rsid w:val="001F0AC1"/>
    <w:rsid w:val="001F29BD"/>
    <w:rsid w:val="00203703"/>
    <w:rsid w:val="00243A9F"/>
    <w:rsid w:val="00255127"/>
    <w:rsid w:val="002621D0"/>
    <w:rsid w:val="0026319C"/>
    <w:rsid w:val="002702D8"/>
    <w:rsid w:val="00272B03"/>
    <w:rsid w:val="002761CF"/>
    <w:rsid w:val="002849E3"/>
    <w:rsid w:val="0029425F"/>
    <w:rsid w:val="00295D8B"/>
    <w:rsid w:val="002A50A6"/>
    <w:rsid w:val="002A6C94"/>
    <w:rsid w:val="002B6C39"/>
    <w:rsid w:val="002D14DD"/>
    <w:rsid w:val="002E3275"/>
    <w:rsid w:val="002F0704"/>
    <w:rsid w:val="002F1EDB"/>
    <w:rsid w:val="002F4DDC"/>
    <w:rsid w:val="00337E9F"/>
    <w:rsid w:val="00340B4A"/>
    <w:rsid w:val="0034258F"/>
    <w:rsid w:val="00350892"/>
    <w:rsid w:val="003529EB"/>
    <w:rsid w:val="003636E4"/>
    <w:rsid w:val="0036544B"/>
    <w:rsid w:val="00387445"/>
    <w:rsid w:val="003A4CDF"/>
    <w:rsid w:val="003C32AA"/>
    <w:rsid w:val="003C3CE0"/>
    <w:rsid w:val="003D46D8"/>
    <w:rsid w:val="003D4DD8"/>
    <w:rsid w:val="0040742F"/>
    <w:rsid w:val="004343A4"/>
    <w:rsid w:val="00435503"/>
    <w:rsid w:val="0044288F"/>
    <w:rsid w:val="00443FFD"/>
    <w:rsid w:val="00446379"/>
    <w:rsid w:val="00461303"/>
    <w:rsid w:val="00464905"/>
    <w:rsid w:val="00473754"/>
    <w:rsid w:val="00474551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19FB"/>
    <w:rsid w:val="00677FFC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93544"/>
    <w:rsid w:val="007A7AD4"/>
    <w:rsid w:val="007C3477"/>
    <w:rsid w:val="007D3B0E"/>
    <w:rsid w:val="007E2323"/>
    <w:rsid w:val="00804B4A"/>
    <w:rsid w:val="008123B6"/>
    <w:rsid w:val="0081476C"/>
    <w:rsid w:val="00817D11"/>
    <w:rsid w:val="00832256"/>
    <w:rsid w:val="00835B33"/>
    <w:rsid w:val="008513AF"/>
    <w:rsid w:val="00887560"/>
    <w:rsid w:val="008915BC"/>
    <w:rsid w:val="00891C17"/>
    <w:rsid w:val="00892C2B"/>
    <w:rsid w:val="008933E1"/>
    <w:rsid w:val="008A1DA2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2D66"/>
    <w:rsid w:val="0094564A"/>
    <w:rsid w:val="00970930"/>
    <w:rsid w:val="009773AC"/>
    <w:rsid w:val="00980099"/>
    <w:rsid w:val="0098430D"/>
    <w:rsid w:val="0099473E"/>
    <w:rsid w:val="009B4D71"/>
    <w:rsid w:val="009E35AF"/>
    <w:rsid w:val="009E4E7A"/>
    <w:rsid w:val="009F7809"/>
    <w:rsid w:val="00A24566"/>
    <w:rsid w:val="00A53FBF"/>
    <w:rsid w:val="00A66826"/>
    <w:rsid w:val="00A71CED"/>
    <w:rsid w:val="00A86BA7"/>
    <w:rsid w:val="00A9394D"/>
    <w:rsid w:val="00AA0392"/>
    <w:rsid w:val="00AB502E"/>
    <w:rsid w:val="00B04ADA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65E5D"/>
    <w:rsid w:val="00B932E3"/>
    <w:rsid w:val="00BB4ED8"/>
    <w:rsid w:val="00BD5B98"/>
    <w:rsid w:val="00BD7622"/>
    <w:rsid w:val="00BD7F70"/>
    <w:rsid w:val="00BF2F93"/>
    <w:rsid w:val="00BF4496"/>
    <w:rsid w:val="00C00D7B"/>
    <w:rsid w:val="00C155F5"/>
    <w:rsid w:val="00C21521"/>
    <w:rsid w:val="00C33C0D"/>
    <w:rsid w:val="00C436E9"/>
    <w:rsid w:val="00C55206"/>
    <w:rsid w:val="00C67FDB"/>
    <w:rsid w:val="00C9527E"/>
    <w:rsid w:val="00CB217E"/>
    <w:rsid w:val="00CB342B"/>
    <w:rsid w:val="00CB7F9A"/>
    <w:rsid w:val="00CC0D7C"/>
    <w:rsid w:val="00CE2F57"/>
    <w:rsid w:val="00CE7362"/>
    <w:rsid w:val="00D25794"/>
    <w:rsid w:val="00D2736A"/>
    <w:rsid w:val="00D35952"/>
    <w:rsid w:val="00D4029B"/>
    <w:rsid w:val="00D46260"/>
    <w:rsid w:val="00D568DE"/>
    <w:rsid w:val="00D64681"/>
    <w:rsid w:val="00D724BF"/>
    <w:rsid w:val="00D8003A"/>
    <w:rsid w:val="00DA0A90"/>
    <w:rsid w:val="00DA5B0D"/>
    <w:rsid w:val="00DB2FAF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2909"/>
    <w:rsid w:val="00E5189F"/>
    <w:rsid w:val="00E62A90"/>
    <w:rsid w:val="00E8428E"/>
    <w:rsid w:val="00E9209C"/>
    <w:rsid w:val="00E92931"/>
    <w:rsid w:val="00EA1642"/>
    <w:rsid w:val="00EA2993"/>
    <w:rsid w:val="00EA5A42"/>
    <w:rsid w:val="00EB20F9"/>
    <w:rsid w:val="00EC67B4"/>
    <w:rsid w:val="00ED0E85"/>
    <w:rsid w:val="00ED7732"/>
    <w:rsid w:val="00EE41C0"/>
    <w:rsid w:val="00EF69A5"/>
    <w:rsid w:val="00F03089"/>
    <w:rsid w:val="00F05DEC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81B08"/>
    <w:rsid w:val="00F83B26"/>
    <w:rsid w:val="00F91BE3"/>
    <w:rsid w:val="00F95485"/>
    <w:rsid w:val="00F95940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red,#fa0a0a"/>
    </o:shapedefaults>
    <o:shapelayout v:ext="edit">
      <o:idmap v:ext="edit" data="1"/>
    </o:shapelayout>
  </w:shapeDefaults>
  <w:decimalSymbol w:val=","/>
  <w:listSeparator w:val=";"/>
  <w14:docId w14:val="1C7EA798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3C3CE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Default">
    <w:name w:val="Default"/>
    <w:rsid w:val="00CB2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F870-CEA0-4836-A081-8799FC35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40</cp:revision>
  <cp:lastPrinted>2018-04-04T07:33:00Z</cp:lastPrinted>
  <dcterms:created xsi:type="dcterms:W3CDTF">2016-02-15T09:15:00Z</dcterms:created>
  <dcterms:modified xsi:type="dcterms:W3CDTF">2018-04-04T09:49:00Z</dcterms:modified>
</cp:coreProperties>
</file>