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306A70" w:rsidRPr="00A657F5" w:rsidRDefault="00306A70" w:rsidP="00940A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5B504C">
        <w:rPr>
          <w:rFonts w:ascii="Tahoma" w:hAnsi="Tahoma" w:cs="Tahoma"/>
          <w:b/>
          <w:sz w:val="24"/>
          <w:szCs w:val="24"/>
        </w:rPr>
        <w:t>1264</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5B504C">
        <w:rPr>
          <w:rFonts w:ascii="Tahoma" w:hAnsi="Tahoma" w:cs="Tahoma"/>
          <w:b/>
          <w:sz w:val="24"/>
          <w:szCs w:val="24"/>
        </w:rPr>
        <w:t>21</w:t>
      </w:r>
      <w:r w:rsidR="009D65BA">
        <w:rPr>
          <w:rFonts w:ascii="Tahoma" w:hAnsi="Tahoma" w:cs="Tahoma"/>
          <w:b/>
          <w:sz w:val="24"/>
          <w:szCs w:val="24"/>
        </w:rPr>
        <w:t>.09</w:t>
      </w:r>
      <w:r w:rsidR="002845D6">
        <w:rPr>
          <w:rFonts w:ascii="Tahoma" w:hAnsi="Tahoma" w:cs="Tahoma"/>
          <w:b/>
          <w:sz w:val="24"/>
          <w:szCs w:val="24"/>
        </w:rPr>
        <w:t>.2017</w:t>
      </w:r>
      <w:r w:rsidR="00306A70" w:rsidRPr="00A657F5">
        <w:rPr>
          <w:rFonts w:ascii="Tahoma" w:hAnsi="Tahoma" w:cs="Tahoma"/>
          <w:b/>
          <w:sz w:val="24"/>
          <w:szCs w:val="24"/>
        </w:rPr>
        <w:t xml:space="preserve">.godine             </w:t>
      </w:r>
    </w:p>
    <w:p w:rsidR="000221D0" w:rsidRPr="002845D6" w:rsidRDefault="00306A70" w:rsidP="002845D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5B504C">
        <w:rPr>
          <w:rFonts w:ascii="Tahoma" w:hAnsi="Tahoma" w:cs="Tahoma"/>
          <w:sz w:val="24"/>
          <w:szCs w:val="24"/>
        </w:rPr>
        <w:t>84939-84953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5B504C">
        <w:rPr>
          <w:rFonts w:ascii="Tahoma" w:hAnsi="Tahoma" w:cs="Tahoma"/>
          <w:sz w:val="24"/>
          <w:szCs w:val="24"/>
        </w:rPr>
        <w:t>25</w:t>
      </w:r>
      <w:r w:rsidR="00AA0BCD">
        <w:rPr>
          <w:rFonts w:ascii="Tahoma" w:hAnsi="Tahoma" w:cs="Tahoma"/>
          <w:sz w:val="24"/>
          <w:szCs w:val="24"/>
        </w:rPr>
        <w:t>.0</w:t>
      </w:r>
      <w:r w:rsidR="005B504C">
        <w:rPr>
          <w:rFonts w:ascii="Tahoma" w:hAnsi="Tahoma" w:cs="Tahoma"/>
          <w:sz w:val="24"/>
          <w:szCs w:val="24"/>
        </w:rPr>
        <w:t>5</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FB6C66">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 xml:space="preserve">Ministarstva </w:t>
      </w:r>
      <w:r w:rsidR="00FB6C66">
        <w:rPr>
          <w:rFonts w:ascii="Tahoma" w:hAnsi="Tahoma" w:cs="Tahoma"/>
          <w:sz w:val="24"/>
          <w:szCs w:val="24"/>
        </w:rPr>
        <w:t>finansija</w:t>
      </w:r>
      <w:r w:rsidR="004A353D">
        <w:rPr>
          <w:rFonts w:ascii="Tahoma" w:hAnsi="Tahoma" w:cs="Tahoma"/>
          <w:sz w:val="24"/>
          <w:szCs w:val="24"/>
        </w:rPr>
        <w:t xml:space="preserve"> </w:t>
      </w:r>
      <w:r w:rsidR="004E29CD">
        <w:rPr>
          <w:rFonts w:ascii="Tahoma" w:hAnsi="Tahoma" w:cs="Tahoma"/>
          <w:sz w:val="24"/>
          <w:szCs w:val="24"/>
        </w:rPr>
        <w:t xml:space="preserve">broj: </w:t>
      </w:r>
      <w:r w:rsidR="00FB6C66">
        <w:rPr>
          <w:rFonts w:ascii="Tahoma" w:hAnsi="Tahoma" w:cs="Tahoma"/>
          <w:sz w:val="24"/>
          <w:szCs w:val="24"/>
        </w:rPr>
        <w:t>011-</w:t>
      </w:r>
      <w:r w:rsidR="005B504C">
        <w:rPr>
          <w:rFonts w:ascii="Tahoma" w:hAnsi="Tahoma" w:cs="Tahoma"/>
          <w:sz w:val="24"/>
          <w:szCs w:val="24"/>
        </w:rPr>
        <w:t>74</w:t>
      </w:r>
      <w:r w:rsidR="00FB6C66">
        <w:rPr>
          <w:rFonts w:ascii="Tahoma" w:hAnsi="Tahoma" w:cs="Tahoma"/>
          <w:sz w:val="24"/>
          <w:szCs w:val="24"/>
        </w:rPr>
        <w:t>/2</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5B504C">
        <w:rPr>
          <w:rFonts w:ascii="Tahoma" w:hAnsi="Tahoma" w:cs="Tahoma"/>
          <w:sz w:val="24"/>
          <w:szCs w:val="24"/>
        </w:rPr>
        <w:t>27.04</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0B4067">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B504C">
        <w:rPr>
          <w:rFonts w:ascii="Tahoma" w:hAnsi="Tahoma" w:cs="Tahoma"/>
          <w:sz w:val="24"/>
          <w:szCs w:val="24"/>
        </w:rPr>
        <w:t>11</w:t>
      </w:r>
      <w:r w:rsidR="00FB6C66">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92C27" w:rsidRDefault="00C92C27"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92C27" w:rsidRDefault="00C92C27" w:rsidP="00781EDF">
      <w:pPr>
        <w:jc w:val="both"/>
        <w:rPr>
          <w:rFonts w:ascii="Tahoma" w:hAnsi="Tahoma" w:cs="Tahoma"/>
          <w:sz w:val="24"/>
        </w:rPr>
      </w:pPr>
    </w:p>
    <w:p w:rsidR="00AE3E2A" w:rsidRPr="00AE3E2A" w:rsidRDefault="0003686E" w:rsidP="00AE3E2A">
      <w:pPr>
        <w:jc w:val="both"/>
        <w:rPr>
          <w:rFonts w:ascii="Tahoma" w:hAnsi="Tahoma" w:cs="Tahoma"/>
          <w:sz w:val="24"/>
        </w:rPr>
      </w:pPr>
      <w:r w:rsidRPr="00781EDF">
        <w:rPr>
          <w:rFonts w:ascii="Tahoma" w:hAnsi="Tahoma" w:cs="Tahoma"/>
          <w:sz w:val="24"/>
        </w:rPr>
        <w:t xml:space="preserve">Prvostepeni organ je donio </w:t>
      </w:r>
      <w:r w:rsidR="00FB6C66">
        <w:rPr>
          <w:rFonts w:ascii="Tahoma" w:hAnsi="Tahoma" w:cs="Tahoma"/>
          <w:sz w:val="24"/>
        </w:rPr>
        <w:t>rješenje</w:t>
      </w:r>
      <w:r w:rsidRPr="00781EDF">
        <w:rPr>
          <w:rFonts w:ascii="Tahoma" w:hAnsi="Tahoma" w:cs="Tahoma"/>
          <w:sz w:val="24"/>
        </w:rPr>
        <w:t xml:space="preserve"> </w:t>
      </w:r>
      <w:r w:rsidR="004E29CD">
        <w:rPr>
          <w:rFonts w:ascii="Tahoma" w:hAnsi="Tahoma" w:cs="Tahoma"/>
          <w:sz w:val="24"/>
        </w:rPr>
        <w:t xml:space="preserve">broj: </w:t>
      </w:r>
      <w:r w:rsidR="00FB6C66">
        <w:rPr>
          <w:rFonts w:ascii="Tahoma" w:hAnsi="Tahoma" w:cs="Tahoma"/>
          <w:sz w:val="24"/>
        </w:rPr>
        <w:t>011-</w:t>
      </w:r>
      <w:r w:rsidR="00AF633C">
        <w:rPr>
          <w:rFonts w:ascii="Tahoma" w:hAnsi="Tahoma" w:cs="Tahoma"/>
          <w:sz w:val="24"/>
        </w:rPr>
        <w:t>74</w:t>
      </w:r>
      <w:r w:rsidR="00FB6C66">
        <w:rPr>
          <w:rFonts w:ascii="Tahoma" w:hAnsi="Tahoma" w:cs="Tahoma"/>
          <w:sz w:val="24"/>
        </w:rPr>
        <w:t>/2</w:t>
      </w:r>
      <w:r w:rsidR="004E29CD">
        <w:rPr>
          <w:rFonts w:ascii="Tahoma" w:hAnsi="Tahoma" w:cs="Tahoma"/>
          <w:sz w:val="24"/>
        </w:rPr>
        <w:t xml:space="preserve"> </w:t>
      </w:r>
      <w:r w:rsidR="003140C3" w:rsidRPr="003140C3">
        <w:rPr>
          <w:rFonts w:ascii="Tahoma" w:hAnsi="Tahoma" w:cs="Tahoma"/>
          <w:sz w:val="24"/>
        </w:rPr>
        <w:t xml:space="preserve">od </w:t>
      </w:r>
      <w:r w:rsidR="00AF633C">
        <w:rPr>
          <w:rFonts w:ascii="Tahoma" w:hAnsi="Tahoma" w:cs="Tahoma"/>
          <w:sz w:val="24"/>
        </w:rPr>
        <w:t>27.04</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FB6C66">
        <w:rPr>
          <w:rFonts w:ascii="Tahoma" w:hAnsi="Tahoma" w:cs="Tahoma"/>
          <w:sz w:val="24"/>
        </w:rPr>
        <w:t xml:space="preserve">je </w:t>
      </w:r>
      <w:r w:rsidR="00AF633C">
        <w:rPr>
          <w:rFonts w:ascii="Tahoma" w:hAnsi="Tahoma" w:cs="Tahoma"/>
          <w:sz w:val="24"/>
        </w:rPr>
        <w:t xml:space="preserve">djelimično usvojio </w:t>
      </w:r>
      <w:r w:rsidR="00FB6C66">
        <w:rPr>
          <w:rFonts w:ascii="Tahoma" w:hAnsi="Tahoma" w:cs="Tahoma"/>
          <w:sz w:val="24"/>
        </w:rPr>
        <w:t>zahtjev Mreže za afirmaciju nevladinog sektora iz Podgorice za pristup informacijama 16/</w:t>
      </w:r>
      <w:r w:rsidR="005B504C">
        <w:rPr>
          <w:rFonts w:ascii="Tahoma" w:hAnsi="Tahoma" w:cs="Tahoma"/>
          <w:sz w:val="24"/>
        </w:rPr>
        <w:t>84939-84953</w:t>
      </w:r>
      <w:r w:rsidR="006971DF">
        <w:rPr>
          <w:rFonts w:ascii="Tahoma" w:hAnsi="Tahoma" w:cs="Tahoma"/>
          <w:sz w:val="24"/>
        </w:rPr>
        <w:t xml:space="preserve"> od </w:t>
      </w:r>
      <w:r w:rsidR="00AF633C">
        <w:rPr>
          <w:rFonts w:ascii="Tahoma" w:hAnsi="Tahoma" w:cs="Tahoma"/>
          <w:sz w:val="24"/>
        </w:rPr>
        <w:t>01.04</w:t>
      </w:r>
      <w:r w:rsidR="00FB6C66">
        <w:rPr>
          <w:rFonts w:ascii="Tahoma" w:hAnsi="Tahoma" w:cs="Tahoma"/>
          <w:sz w:val="24"/>
        </w:rPr>
        <w:t>.2016.godine</w:t>
      </w:r>
      <w:r w:rsidR="00AF633C">
        <w:rPr>
          <w:rFonts w:ascii="Tahoma" w:hAnsi="Tahoma" w:cs="Tahoma"/>
          <w:sz w:val="24"/>
        </w:rPr>
        <w:t>, i dozvoljava se pristup inforacijama koji se odnosi na tačke 1 do 14, tj. Svih rashoda (koji uključuju datum isplate, naziv dobavljača, svrhu uplate i ostale stavke, a sve po SAP sistemu po kojem se vode budžetski izdaci) realizovanih na programu upravljanje budžetom, ekonomska klasifikacija</w:t>
      </w:r>
      <w:r w:rsidR="00A936AC">
        <w:rPr>
          <w:rFonts w:ascii="Tahoma" w:hAnsi="Tahoma" w:cs="Tahoma"/>
          <w:sz w:val="24"/>
        </w:rPr>
        <w:t xml:space="preserve"> broj 4161, izdatak: kamate rezidentima, a koji se odnose na mart 2016. godine; </w:t>
      </w:r>
      <w:r w:rsidR="009A76E4">
        <w:rPr>
          <w:rFonts w:ascii="Tahoma" w:hAnsi="Tahoma" w:cs="Tahoma"/>
          <w:sz w:val="24"/>
        </w:rPr>
        <w:t>Svih rashoda (koji uključuju datum isplate, naziv dobavljača, svrhu uplate i ostale stavke, a sve po SAP sistemu po kojem se vode budžetski izdaci) realizovanih na programu upravljanje budžetom, ekonomska klasifikacija broj 4162, izdatak: kamate nerezidentima, a koji se odnose na mart 2016. godine; Svih rashoda (koji uključuju datum isplate, naziv dobavljača, svrhu uplate i ostale stavke, a sve po SAP sistemu po kojem se vode budžetski izdaci) realizovanih na programu upravljanje budžetom, ekonomska klasifikacija broj 4191, izdatak: izdaci po osnovu isplate ugovora o djelu, a koji se odnose na mart 2016. godine; Svih rashoda (koji uključuju datum isplate, naziv dobavljača, svrhu uplate i ostale stavke, a sve po SAP sistemu po kojem se vode budžetski izdaci) realizovanih na programu upravljanje budžetom, ekonomska klasifikacija broj 4193, izdatak: izr</w:t>
      </w:r>
      <w:r w:rsidR="007912B0">
        <w:rPr>
          <w:rFonts w:ascii="Tahoma" w:hAnsi="Tahoma" w:cs="Tahoma"/>
          <w:sz w:val="24"/>
        </w:rPr>
        <w:t>ada</w:t>
      </w:r>
      <w:r w:rsidR="009A76E4">
        <w:rPr>
          <w:rFonts w:ascii="Tahoma" w:hAnsi="Tahoma" w:cs="Tahoma"/>
          <w:sz w:val="24"/>
        </w:rPr>
        <w:t xml:space="preserve"> i održavanje softvera, a koji se odnose na mart 2016. godine; Svih rashoda (koji uključuju datum isplate, naziv dobavljača, svrhu uplate i ostale stavke, a sve po SAP sistemu po kojem se vode </w:t>
      </w:r>
      <w:r w:rsidR="009A76E4">
        <w:rPr>
          <w:rFonts w:ascii="Tahoma" w:hAnsi="Tahoma" w:cs="Tahoma"/>
          <w:sz w:val="24"/>
        </w:rPr>
        <w:lastRenderedPageBreak/>
        <w:t xml:space="preserve">budžetski izdaci) realizovanih na programu upravljanje budžetom, ekonomska klasifikacija broj 4222, izdatak: otpremnine za tehnološke viškove, a koji se odnose na mart 2016. godine; Svih rashoda (koji uključuju datum isplate, naziv dobavljača, svrhu uplate i ostale stavke, a sve po SAP sistemu po kojem se vode budžetski izdaci) realizovanih na programu upravljanje budžetom, ekonomska klasifikacija broj 4318, izdatak: ostali transferi pojedincima, a koji se odnose na mart 2016. godine;  Svih rashoda (koji uključuju datum isplate, naziv dobavljača, svrhu uplate i ostale stavke, a sve po SAP sistemu po kojem se vode budžetski izdaci) realizovanih na programu politika, propisi i žalbe, ekonomska klasifikacija broj 4191, izdatak: izdaci po osnovu isplate ugovora o djelu, a koji se odnose na mart 2016. godine; Svih rashoda (koji uključuju datum isplate, naziv dobavljača, svrhu uplate i ostale stavke, a sve po SAP sistemu po kojem se vode budžetski izdaci) realizovanih na programu politika, propisi i žalbe, ekonomska klasifikacija broj 4199, izdatak: ostalo, a koji se odnose na mart 2016. godine;  Svih rashoda (koji uključuju datum isplate, naziv dobavljača, svrhu uplate i ostale stavke, a sve po SAP sistemu po kojem se vode budžetski izdaci) realizovanih na programu administracija, ekonomska klasifikacija broj 4191, izdatak: izdatak po osnovu isplate ugovora o djelu, a koji se odnose na mart 2016. godine; Svih rashoda (koji uključuju datum isplate, naziv dobavljača, svrhu uplate i ostale stavke, a sve po SAP sistemu po kojem se vode budžetski izdaci) realizovanih na programu komisija, ekonomska klasifikacija broj 4191, izdatak: izdaci po osnovu isplate ugovora o djelu, a koji se odnose na mart 2016. godine; Svih rashoda (koji uključuju datum isplate, naziv dobavljača, svrhu uplate i ostale stavke, a sve po SAP sistemu po kojem se vode budžetski izdaci) realizovanih na programu </w:t>
      </w:r>
      <w:r w:rsidR="001A0279">
        <w:rPr>
          <w:rFonts w:ascii="Tahoma" w:hAnsi="Tahoma" w:cs="Tahoma"/>
          <w:sz w:val="24"/>
        </w:rPr>
        <w:t>uprava za nekretnine</w:t>
      </w:r>
      <w:r w:rsidR="009A76E4">
        <w:rPr>
          <w:rFonts w:ascii="Tahoma" w:hAnsi="Tahoma" w:cs="Tahoma"/>
          <w:sz w:val="24"/>
        </w:rPr>
        <w:t>, ekonomska klasifikacija</w:t>
      </w:r>
      <w:r w:rsidR="001A0279">
        <w:rPr>
          <w:rFonts w:ascii="Tahoma" w:hAnsi="Tahoma" w:cs="Tahoma"/>
          <w:sz w:val="24"/>
        </w:rPr>
        <w:t xml:space="preserve"> broj 419</w:t>
      </w:r>
      <w:r w:rsidR="009A76E4">
        <w:rPr>
          <w:rFonts w:ascii="Tahoma" w:hAnsi="Tahoma" w:cs="Tahoma"/>
          <w:sz w:val="24"/>
        </w:rPr>
        <w:t xml:space="preserve">1, izdatak: </w:t>
      </w:r>
      <w:r w:rsidR="001A0279">
        <w:rPr>
          <w:rFonts w:ascii="Tahoma" w:hAnsi="Tahoma" w:cs="Tahoma"/>
          <w:sz w:val="24"/>
        </w:rPr>
        <w:t>izdaci po osnovu isplate ugovora o djelu</w:t>
      </w:r>
      <w:r w:rsidR="009A76E4">
        <w:rPr>
          <w:rFonts w:ascii="Tahoma" w:hAnsi="Tahoma" w:cs="Tahoma"/>
          <w:sz w:val="24"/>
        </w:rPr>
        <w:t xml:space="preserve">, a koji se odnose na mart 2016. godine; </w:t>
      </w:r>
      <w:r w:rsidR="001A0279">
        <w:rPr>
          <w:rFonts w:ascii="Tahoma" w:hAnsi="Tahoma" w:cs="Tahoma"/>
          <w:sz w:val="24"/>
        </w:rPr>
        <w:t>Svih rashoda (koji uključuju datum isplate, naziv dobavljača, svrhu uplate i ostale stavke, a sve po SAP sistemu po kojem se vode budžetski izdaci) realizovanih na programu uprava za nekretnine ekonomska klasifikacija broj 4147, izdatak: konsultantske usluge, projekti i studije, a koji se odnose na mart 2016. godine; Svih rashoda (koji uključuju datum isplate, naziv dobavljača, svrhu uplate i ostale stavke, a sve po SAP sistemu po kojem se vode budžetski izdaci) realizovanih na programu finansiranje i ugovaranje sredstava EU-pomoći, ekonomska klasifikacija broj 4147, izdatak: konsultantske usluge, projekti i studije, a koji se odnose na mart 2016. godine; Svih rashoda (koji uključuju datum isplate, naziv dobavljača, svrhu uplate i ostale stavke, a sve po SAP sistemu po kojem se vode budžetski izdaci) realizovanih na programu finansiranje i ugovaranje sredstava EU-pomoći, ekonomska klasifikacija broj 4147, izdatak: ostali transferi institucijama, a koji se odnose na mart 2016. godine. Zahtjev je odbijen u dijelu kojim su traženi svi rashodi (koji uključuju datum isplate, naziv dobavljača, svrhu uplate i ostale stavke, a sve po SAP sistemu po kojem se vode budžetski izdaci) realizovani na programu: rezerve, ekonomska klasifikacija broj 4710 iz</w:t>
      </w:r>
      <w:r w:rsidR="00AE3E2A">
        <w:rPr>
          <w:rFonts w:ascii="Tahoma" w:hAnsi="Tahoma" w:cs="Tahoma"/>
          <w:sz w:val="24"/>
        </w:rPr>
        <w:t xml:space="preserve">datak: tekuća budžetska rezerva, a koja se odnosi na mart 2016.godine. Ograničen je pristup dijelu informacije iz stava 1 dispozitiva rješenja, koji se odnosi na bankovni račun i referentne detalje, na način što će </w:t>
      </w:r>
      <w:r w:rsidR="00AE3E2A">
        <w:rPr>
          <w:rFonts w:ascii="Tahoma" w:hAnsi="Tahoma" w:cs="Tahoma"/>
          <w:sz w:val="24"/>
        </w:rPr>
        <w:lastRenderedPageBreak/>
        <w:t xml:space="preserve">s ovaj dio informacija brisati prije kopiranja. U obrazloženju osporenog rješenja prvostepeni organ je naveo da je </w:t>
      </w:r>
      <w:r w:rsidR="00AE3E2A" w:rsidRPr="00E978CC">
        <w:rPr>
          <w:rFonts w:ascii="Tahoma" w:hAnsi="Tahoma" w:cs="Tahoma"/>
          <w:sz w:val="24"/>
          <w:szCs w:val="24"/>
        </w:rPr>
        <w:t xml:space="preserve">Mreža za afirmaciju nevladinog sektora </w:t>
      </w:r>
      <w:r w:rsidR="00AE3E2A" w:rsidRPr="00E978CC">
        <w:rPr>
          <w:rFonts w:ascii="Tahoma" w:hAnsi="Tahoma" w:cs="Tahoma"/>
          <w:sz w:val="24"/>
          <w:szCs w:val="24"/>
          <w:lang w:val="en-US"/>
        </w:rPr>
        <w:t xml:space="preserve">- MANS </w:t>
      </w:r>
      <w:r w:rsidR="00AE3E2A" w:rsidRPr="00E978CC">
        <w:rPr>
          <w:rFonts w:ascii="Tahoma" w:hAnsi="Tahoma" w:cs="Tahoma"/>
          <w:sz w:val="24"/>
          <w:szCs w:val="24"/>
        </w:rPr>
        <w:t xml:space="preserve">iz Podgorice, podnio je ovom organu zahtjev za pristup informacijama broj </w:t>
      </w:r>
      <w:r w:rsidR="00AE3E2A" w:rsidRPr="00E978CC">
        <w:rPr>
          <w:rFonts w:ascii="Tahoma" w:hAnsi="Tahoma" w:cs="Tahoma"/>
          <w:sz w:val="24"/>
          <w:szCs w:val="24"/>
          <w:lang w:val="en-US"/>
        </w:rPr>
        <w:t xml:space="preserve">16/85180-85182 </w:t>
      </w:r>
      <w:r w:rsidR="00AE3E2A" w:rsidRPr="00E978CC">
        <w:rPr>
          <w:rFonts w:ascii="Tahoma" w:hAnsi="Tahoma" w:cs="Tahoma"/>
          <w:sz w:val="24"/>
          <w:szCs w:val="24"/>
        </w:rPr>
        <w:t xml:space="preserve">od </w:t>
      </w:r>
      <w:r w:rsidR="00AE3E2A" w:rsidRPr="00E978CC">
        <w:rPr>
          <w:rFonts w:ascii="Tahoma" w:hAnsi="Tahoma" w:cs="Tahoma"/>
          <w:sz w:val="24"/>
          <w:szCs w:val="24"/>
          <w:lang w:val="en-US"/>
        </w:rPr>
        <w:t xml:space="preserve">04.04.2016. </w:t>
      </w:r>
      <w:r w:rsidR="00AE3E2A" w:rsidRPr="00E978CC">
        <w:rPr>
          <w:rFonts w:ascii="Tahoma" w:hAnsi="Tahoma" w:cs="Tahoma"/>
          <w:sz w:val="24"/>
          <w:szCs w:val="24"/>
        </w:rPr>
        <w:t>godine,</w:t>
      </w:r>
      <w:r w:rsidR="00AE3E2A">
        <w:rPr>
          <w:rFonts w:ascii="Tahoma" w:hAnsi="Tahoma" w:cs="Tahoma"/>
          <w:sz w:val="24"/>
          <w:szCs w:val="24"/>
        </w:rPr>
        <w:t xml:space="preserve"> kojim je tražio dostavu kopije bliže naznačene u stavu I i II dispozitiva rješenja </w:t>
      </w:r>
      <w:r w:rsidR="00AE3E2A" w:rsidRPr="00E978CC">
        <w:rPr>
          <w:rFonts w:ascii="Tahoma" w:hAnsi="Tahoma" w:cs="Tahoma"/>
          <w:sz w:val="24"/>
          <w:szCs w:val="24"/>
        </w:rPr>
        <w:t>Razmatrajući predmetni zahtjev, Ministarstvo finansija je utvrdilo da posjeduje traženu informaciju, te da se u dijelu iste opisanom u stavu I dispozitiva rješenja ne nalaze podaci čijim bi se objelodanjivanjem ugrozio neki od interesa iz člana 14 Zakona o slobodnom pristupu informacijama, tako da tom dijelu informacije može omogućiti pristup na zahtijevani način.</w:t>
      </w:r>
      <w:r w:rsidR="00AE3E2A">
        <w:rPr>
          <w:rFonts w:ascii="Tahoma" w:hAnsi="Tahoma" w:cs="Tahoma"/>
          <w:sz w:val="24"/>
          <w:szCs w:val="24"/>
        </w:rPr>
        <w:t xml:space="preserve"> </w:t>
      </w:r>
      <w:r w:rsidR="00AE3E2A" w:rsidRPr="00E978CC">
        <w:rPr>
          <w:rFonts w:ascii="Tahoma" w:hAnsi="Tahoma" w:cs="Tahoma"/>
          <w:sz w:val="24"/>
          <w:szCs w:val="24"/>
        </w:rPr>
        <w:t>Uvidom u sadržaj tražene informacije utvrđeno je da dio iste sadrži podatke koji se odnose na žiro-račun poslovne banke i referentne detalje, radi čije je zaštite članom 14 stav 1 tačka 1 citiranog Zakona propisana mogućnost ograničenja pristupa informaciji. Pristup navedenom dijelu informacije, ograničava se brisanjem na način da se ne ošteti izvornik informacije, kako je to i propisano članom 24 stav 2 Zakona o slobodnom pristupu infomacijama.</w:t>
      </w:r>
      <w:r w:rsidR="00AE3E2A">
        <w:rPr>
          <w:rFonts w:ascii="Tahoma" w:hAnsi="Tahoma" w:cs="Tahoma"/>
          <w:sz w:val="24"/>
          <w:szCs w:val="24"/>
        </w:rPr>
        <w:t xml:space="preserve"> </w:t>
      </w:r>
      <w:r w:rsidR="00AE3E2A" w:rsidRPr="00E978CC">
        <w:rPr>
          <w:rFonts w:ascii="Tahoma" w:hAnsi="Tahoma" w:cs="Tahoma"/>
          <w:sz w:val="24"/>
          <w:szCs w:val="24"/>
        </w:rPr>
        <w:t>U skladu sa članom 21 Zakona o slobodnom pristupu informacijama, Ministarstvo finansija utvrdilo je da će se pristup informaciji ostvariti dostavom fotokopije putem pošte, na adresu podnosioca zahtjeva, a sve nakon uplate troškova postupka.</w:t>
      </w:r>
      <w:r w:rsidR="00AE3E2A">
        <w:rPr>
          <w:rFonts w:ascii="Tahoma" w:hAnsi="Tahoma" w:cs="Tahoma"/>
          <w:sz w:val="24"/>
          <w:szCs w:val="24"/>
        </w:rPr>
        <w:t xml:space="preserve">Na osnovu izloženog odlučeno je kao u dispozitivu rješenja. </w:t>
      </w:r>
    </w:p>
    <w:p w:rsidR="009330B2" w:rsidRPr="009330B2" w:rsidRDefault="00BC5A4B" w:rsidP="009330B2">
      <w:pPr>
        <w:pStyle w:val="NoSpacing"/>
        <w:spacing w:line="276" w:lineRule="auto"/>
        <w:jc w:val="both"/>
        <w:rPr>
          <w:rFonts w:ascii="Tahoma" w:hAnsi="Tahoma" w:cs="Tahoma"/>
          <w:sz w:val="24"/>
          <w:szCs w:val="24"/>
        </w:rPr>
      </w:pPr>
      <w:r w:rsidRPr="009330B2">
        <w:rPr>
          <w:rFonts w:ascii="Tahoma" w:hAnsi="Tahoma" w:cs="Tahoma"/>
          <w:sz w:val="24"/>
          <w:szCs w:val="24"/>
        </w:rPr>
        <w:t xml:space="preserve">Protiv ovog rješenja u zakonskom roku podnosilac zahtjeva je uložio žalbu. U žalbi se u bitnom navodi da se rješenje pobija zbog nepotpuno i nepravilno utvrđenog činjeničnog stanja i pogrešne primjene materijalnog prava. Da je dana </w:t>
      </w:r>
      <w:r w:rsidR="001D11EC" w:rsidRPr="009330B2">
        <w:rPr>
          <w:rFonts w:ascii="Tahoma" w:hAnsi="Tahoma" w:cs="Tahoma"/>
          <w:sz w:val="24"/>
          <w:szCs w:val="24"/>
        </w:rPr>
        <w:t>04. aprila 2016. godine žalilac Ministarstvu finansija uputio zahtjev za slobodan pristup informacijama koji je zatražio dostavljanje kopije spiska svih pravnih lica kojima su u periodu mjeseca januara 2016. godine isplaćena sredstva iz budžetske rezerve. Dana 16. maja 2016. godine Ministarstvo finansija dostavlja žaliocu rješenje broj: 011-78/2 od dana 27. aprila 2016. godine kojim djelimično usvaja zahtjev. Tačkom 2 dispozitiva rješenja prvostepeni organ ograničava pristup dijelu traženih informacija koji se odnosi na referentne detalje, na način što će se ovaj dio informacija brisati, pa se žalba odnosi na ovu tačku dispozitiva rješenja.</w:t>
      </w:r>
      <w:bookmarkStart w:id="0" w:name="bookmark7"/>
      <w:r w:rsidR="001D11EC" w:rsidRPr="009330B2">
        <w:rPr>
          <w:rFonts w:ascii="Tahoma" w:hAnsi="Tahoma" w:cs="Tahoma"/>
          <w:sz w:val="24"/>
          <w:szCs w:val="24"/>
        </w:rPr>
        <w:t xml:space="preserve"> U postupku donošenja osporenog rješenja prvostepeni organ je na štetu žalioca povrijedio zakon, a koja povreda se sastoji u sljedećem:</w:t>
      </w:r>
      <w:bookmarkEnd w:id="0"/>
      <w:r w:rsidR="001D11EC" w:rsidRPr="009330B2">
        <w:rPr>
          <w:rFonts w:ascii="Tahoma" w:hAnsi="Tahoma" w:cs="Tahoma"/>
          <w:sz w:val="24"/>
          <w:szCs w:val="24"/>
        </w:rPr>
        <w:t xml:space="preserve"> U obrazloženju osporenog rješenja prvostepeni ogan u bitnom navodi da je uvidom u tražene informacije utvrđeno da dio iste sadrži podatke koji se odnose na referentne detalje, radi čije zaštite je članom 14 stav 1 tačka 1 Zakona o slobodnom pristupu informacijama propisana mogućnost ograničenja pristupa informaciji. Shodno tome, ovaj organ ograničava pristup navedenom dijelu traženih informacija brisanjem na način da se ne ošteti izvornik informacije, a u skladu sa članom 24 stav 2 Zakona o slobodnom pristupu informacijama. Žalilac u cjelosti osporava rješenje prvostepenog organa jer je isto zasnovano na pogrešno i nepotupuno utvrđenom činjeničnom stanju i pogrešnoj primjeni normi materijalnog prava. Žalilac dalje navodi da je članom 51 stav 1 Ustava Crne Gore propisano da svako ima pravo pristupa informacijama u posjedu državnih organa i organizacija koje vrše javna ovlaščenja. Odredba člana 5 </w:t>
      </w:r>
      <w:r w:rsidR="001D11EC" w:rsidRPr="009330B2">
        <w:rPr>
          <w:rFonts w:ascii="Tahoma" w:hAnsi="Tahoma" w:cs="Tahoma"/>
          <w:sz w:val="24"/>
          <w:szCs w:val="24"/>
        </w:rPr>
        <w:lastRenderedPageBreak/>
        <w:t>Zakona o slobodnom pristupu informacijam propisuje da se pristupom informacijama obezbjeduje da javnost zna informacije koje su u posjedu organa vlasti, u cilju vršenja demokratske kontrole vlasti i ostvarivanja ljudskih prava i sloboda. 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14 stav 1 tačka 1 Zakona o slobodnom pristupu informacijama, na kojoj Ministarstvo zasniva rješenje, propisuje da organ vlasti može ograničiti pristup informaciji ili dijelu informacije, ako je to u interesu zaštite privatnosti od objelodanjivanja podataka predviđenih zakonom kojim se ureduje zaštita podataka o ličnosti, osim podataka koji se odnose na sredstva dodijeljena iz javnih prihoda. Dakle,navodi dalje žalilac, citiranom odredbom se propisuje „ograničavanje" pristupa informaciji ili dijelu informacije čijim objavljivanjem se ugrožava privatnost lica, međutim, navedena odredba isključuje bilo kakvo ograničavanje pristupa kada su predmet interesovanja sredstva dodijeljena iz javnih prihoda. Žalilac ističe da je zahtjevom tražio rashode realizovane sa navedenih ekonomskih pozicija, te je, shodno tome, Ministarstvo pogrešno primijenilo i tumačilo odredbe Zakona tako što je zabranilo pristup podacima čije je objavljivanje od nespornog javnog značaja, s obzirom na to da se radi o informacijama koje ukazuju na trošenje sredstava iz javnih prihoda i koje imaju preovladujući javni interes. Prema tome, u odnosu na podatke kojima je pristup osporenim rješenjem ograničen, žalilac ističe da je takvo postupanje prvostepenog organa bilo moguće samo ukoliko se radi o žiro računima, ali kako referentni detalji mogu biti i druge informacije, ovakvo postupanje je neosnovano. Prema tome,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navodeći paušalne i neprecizne razloge za ograničavanje. Shodno tome, žalilac ističe da je prvostepeni organ u konkretnom slučaju pogrešno tumačio zakonsku odredbu na koju se poziva i nepravilno utvrdio činjenično stanje, te samim tim neosnovano ograničio pristup dijelu traženih informacija. S obzirom da je donošenjem osporenog rješenja ograničeno njegovo zakonsko pravo na slobodan pristup informacijama, u skladu sa navedenim, žalilac blagovremeno izjavljuje žalbu i predlaže da Savjet Agencije za zaštitu ličnih podataka i slobodan pristup informacijama poništi rješenje Ministarstva finansija broj: 011-78/2 od dana 27. aprila 2016.godine i meritorno odluči po žalbi.</w:t>
      </w:r>
    </w:p>
    <w:p w:rsidR="009330B2" w:rsidRPr="009330B2" w:rsidRDefault="006F2908" w:rsidP="009330B2">
      <w:pPr>
        <w:pStyle w:val="NoSpacing"/>
        <w:spacing w:line="276" w:lineRule="auto"/>
        <w:jc w:val="both"/>
        <w:rPr>
          <w:rFonts w:ascii="Tahoma" w:hAnsi="Tahoma" w:cs="Tahoma"/>
          <w:sz w:val="24"/>
          <w:szCs w:val="24"/>
        </w:rPr>
      </w:pPr>
      <w:r w:rsidRPr="009330B2">
        <w:rPr>
          <w:rFonts w:ascii="Tahoma" w:hAnsi="Tahoma" w:cs="Tahoma"/>
          <w:sz w:val="24"/>
          <w:szCs w:val="24"/>
        </w:rPr>
        <w:t>Nakon razmatranja s</w:t>
      </w:r>
      <w:r w:rsidR="00BC5A4B" w:rsidRPr="009330B2">
        <w:rPr>
          <w:rFonts w:ascii="Tahoma" w:hAnsi="Tahoma" w:cs="Tahoma"/>
          <w:sz w:val="24"/>
          <w:szCs w:val="24"/>
        </w:rPr>
        <w:t>pisa predmeta i  žalbenih navoda</w:t>
      </w:r>
      <w:r w:rsidRPr="009330B2">
        <w:rPr>
          <w:rFonts w:ascii="Tahoma" w:hAnsi="Tahoma" w:cs="Tahoma"/>
          <w:sz w:val="24"/>
          <w:szCs w:val="24"/>
        </w:rPr>
        <w:t>, Savjet Agencije je našao da je žalba neosnovana.</w:t>
      </w:r>
    </w:p>
    <w:p w:rsidR="00C34770" w:rsidRPr="009330B2" w:rsidRDefault="000C1A52" w:rsidP="009330B2">
      <w:pPr>
        <w:pStyle w:val="NoSpacing"/>
        <w:spacing w:line="276" w:lineRule="auto"/>
        <w:jc w:val="both"/>
        <w:rPr>
          <w:rFonts w:ascii="Tahoma" w:hAnsi="Tahoma" w:cs="Tahoma"/>
          <w:sz w:val="24"/>
          <w:szCs w:val="24"/>
        </w:rPr>
      </w:pPr>
      <w:r w:rsidRPr="009330B2">
        <w:rPr>
          <w:rFonts w:ascii="Tahoma" w:hAnsi="Tahoma" w:cs="Tahoma"/>
          <w:sz w:val="24"/>
          <w:szCs w:val="24"/>
        </w:rPr>
        <w:t xml:space="preserve">Član 235 Zakona o opštem upravnom postupku propisuje da će drugostepeni organ odbiti žalbu kada utvrdi da je postupak koji je rješenju prethodio pravilno sproveden i da je </w:t>
      </w:r>
      <w:r w:rsidRPr="009330B2">
        <w:rPr>
          <w:rFonts w:ascii="Tahoma" w:hAnsi="Tahoma" w:cs="Tahoma"/>
          <w:sz w:val="24"/>
          <w:szCs w:val="24"/>
        </w:rPr>
        <w:lastRenderedPageBreak/>
        <w:t xml:space="preserve">rješenje pravilno i na zakonu zasnovano, a žalba neosnovana. </w:t>
      </w:r>
      <w:r w:rsidR="00C34770" w:rsidRPr="009330B2">
        <w:rPr>
          <w:rFonts w:ascii="Tahoma" w:hAnsi="Tahoma" w:cs="Tahoma"/>
          <w:sz w:val="24"/>
          <w:szCs w:val="24"/>
        </w:rPr>
        <w:t>Savjet Agencije je utvrdio da je Ministarstvo finansija pravilno primjenilo materijalno pravo.</w:t>
      </w:r>
    </w:p>
    <w:p w:rsidR="003E4EB4" w:rsidRDefault="00C34770" w:rsidP="00C34770">
      <w:pPr>
        <w:jc w:val="both"/>
        <w:rPr>
          <w:rFonts w:ascii="Tahoma" w:hAnsi="Tahoma" w:cs="Tahoma"/>
          <w:sz w:val="24"/>
          <w:szCs w:val="24"/>
        </w:rPr>
      </w:pPr>
      <w:r>
        <w:rPr>
          <w:rFonts w:ascii="Tahoma" w:hAnsi="Tahoma" w:cs="Tahoma"/>
          <w:sz w:val="24"/>
          <w:szCs w:val="24"/>
        </w:rPr>
        <w:t>Naime, p</w:t>
      </w:r>
      <w:r w:rsidR="003E4EB4" w:rsidRPr="009D170C">
        <w:rPr>
          <w:rFonts w:ascii="Tahoma" w:hAnsi="Tahoma" w:cs="Tahoma"/>
          <w:sz w:val="24"/>
          <w:szCs w:val="24"/>
        </w:rPr>
        <w:t>rema članu 51 stav 1 Ustava Crne Gore svako ima pravo pristupa informacijama u posjedu državnih organa i organizacija koje vrše javna ovlašćenja, koje pravo se ostvaruje na osnovu Zakona o slobodnom pristupu informacijama, ali sa druge strane Ustav u članu 43 jemči zaštitu podataka o ličnosti, a u stavu 2 člana 51 određuje kada se može ograničiti pristup informacijama.</w:t>
      </w:r>
    </w:p>
    <w:p w:rsidR="003E4EB4" w:rsidRPr="003E4EB4" w:rsidRDefault="003E4EB4" w:rsidP="003E4EB4">
      <w:pPr>
        <w:pStyle w:val="NoSpacing"/>
        <w:spacing w:line="276" w:lineRule="auto"/>
        <w:jc w:val="both"/>
        <w:rPr>
          <w:rFonts w:ascii="Tahoma" w:hAnsi="Tahoma" w:cs="Tahoma"/>
          <w:sz w:val="24"/>
          <w:szCs w:val="24"/>
        </w:rPr>
      </w:pPr>
      <w:r>
        <w:rPr>
          <w:rFonts w:ascii="Tahoma" w:hAnsi="Tahoma" w:cs="Tahoma"/>
          <w:sz w:val="24"/>
          <w:szCs w:val="24"/>
        </w:rPr>
        <w:t xml:space="preserve">Član 13 zakona o Slobodnom pristupu informacijama propisuje da je  </w:t>
      </w:r>
      <w:r w:rsidR="009B7E03">
        <w:rPr>
          <w:rFonts w:ascii="Tahoma" w:hAnsi="Tahoma" w:cs="Tahoma"/>
          <w:sz w:val="24"/>
          <w:szCs w:val="24"/>
        </w:rPr>
        <w:t xml:space="preserve">organ vlasti dužan </w:t>
      </w:r>
      <w:r w:rsidRPr="003E4EB4">
        <w:rPr>
          <w:rFonts w:ascii="Tahoma" w:hAnsi="Tahoma" w:cs="Tahoma"/>
          <w:sz w:val="24"/>
          <w:szCs w:val="24"/>
        </w:rPr>
        <w:t xml:space="preserve"> da fizičkom i pravnom licu koje traži pristup informaciji (u daljem tekstu: podnosilac zahtjeva) omogući pristup informaciji ili njenom dijelu koju posjeduje, osim u slučajevima predviđenim ovim zakonom</w:t>
      </w:r>
      <w:r w:rsidR="009B7E03">
        <w:rPr>
          <w:rFonts w:ascii="Tahoma" w:hAnsi="Tahoma" w:cs="Tahoma"/>
          <w:sz w:val="24"/>
          <w:szCs w:val="24"/>
        </w:rPr>
        <w:t>.</w:t>
      </w:r>
    </w:p>
    <w:p w:rsidR="009B7E03" w:rsidRDefault="003E4EB4" w:rsidP="00A0501C">
      <w:pPr>
        <w:autoSpaceDE w:val="0"/>
        <w:autoSpaceDN w:val="0"/>
        <w:adjustRightInd w:val="0"/>
        <w:spacing w:after="0"/>
        <w:jc w:val="both"/>
        <w:rPr>
          <w:rFonts w:ascii="Tahoma" w:hAnsi="Tahoma" w:cs="Tahoma"/>
          <w:sz w:val="24"/>
          <w:szCs w:val="24"/>
        </w:rPr>
      </w:pPr>
      <w:r w:rsidRPr="009D170C">
        <w:rPr>
          <w:rFonts w:ascii="Tahoma" w:hAnsi="Tahoma" w:cs="Tahoma"/>
          <w:sz w:val="24"/>
          <w:szCs w:val="24"/>
        </w:rPr>
        <w:t>Odredbom člana 14 stav 1</w:t>
      </w:r>
      <w:r>
        <w:rPr>
          <w:rFonts w:ascii="Tahoma" w:hAnsi="Tahoma" w:cs="Tahoma"/>
          <w:sz w:val="24"/>
          <w:szCs w:val="24"/>
        </w:rPr>
        <w:t xml:space="preserve"> tačka 1 propisano je da </w:t>
      </w:r>
      <w:r w:rsidRPr="003E4EB4">
        <w:rPr>
          <w:rFonts w:ascii="Tahoma" w:hAnsi="Tahoma" w:cs="Tahoma"/>
          <w:sz w:val="24"/>
          <w:szCs w:val="24"/>
        </w:rPr>
        <w:t>Organ vlasti može ograničiti pristup informaciji ili dijelu in</w:t>
      </w:r>
      <w:r>
        <w:rPr>
          <w:rFonts w:ascii="Tahoma" w:hAnsi="Tahoma" w:cs="Tahoma"/>
          <w:sz w:val="24"/>
          <w:szCs w:val="24"/>
        </w:rPr>
        <w:t xml:space="preserve">formacije, ako je to u interesu </w:t>
      </w:r>
      <w:r w:rsidRPr="003E4EB4">
        <w:rPr>
          <w:rFonts w:ascii="Tahoma" w:hAnsi="Tahoma" w:cs="Tahoma"/>
          <w:sz w:val="24"/>
          <w:szCs w:val="24"/>
        </w:rPr>
        <w:t>zaštite privatnosti od objelodanjivanja podataka predviđenih zakonom kojim se uređuje zaštita podataka o ličnosti</w:t>
      </w:r>
      <w:r>
        <w:rPr>
          <w:rFonts w:ascii="Tahoma" w:hAnsi="Tahoma" w:cs="Tahoma"/>
          <w:sz w:val="24"/>
          <w:szCs w:val="24"/>
        </w:rPr>
        <w:t xml:space="preserve">. </w:t>
      </w:r>
    </w:p>
    <w:p w:rsidR="009B7E03" w:rsidRDefault="009B7E03" w:rsidP="009B7E03">
      <w:pPr>
        <w:autoSpaceDE w:val="0"/>
        <w:autoSpaceDN w:val="0"/>
        <w:adjustRightInd w:val="0"/>
        <w:spacing w:after="0"/>
        <w:jc w:val="both"/>
        <w:rPr>
          <w:rFonts w:ascii="Tahoma" w:hAnsi="Tahoma" w:cs="Tahoma"/>
          <w:sz w:val="24"/>
          <w:szCs w:val="24"/>
        </w:rPr>
      </w:pPr>
      <w:r>
        <w:rPr>
          <w:rFonts w:ascii="Tahoma" w:hAnsi="Tahoma" w:cs="Tahoma"/>
          <w:sz w:val="24"/>
          <w:szCs w:val="24"/>
        </w:rPr>
        <w:t>Z</w:t>
      </w:r>
      <w:r w:rsidR="003E4EB4">
        <w:rPr>
          <w:rFonts w:ascii="Tahoma" w:hAnsi="Tahoma" w:cs="Tahoma"/>
          <w:sz w:val="24"/>
          <w:szCs w:val="24"/>
        </w:rPr>
        <w:t xml:space="preserve">akon o zaštiti </w:t>
      </w:r>
      <w:r>
        <w:rPr>
          <w:rFonts w:ascii="Tahoma" w:hAnsi="Tahoma" w:cs="Tahoma"/>
          <w:sz w:val="24"/>
          <w:szCs w:val="24"/>
        </w:rPr>
        <w:t>podataka</w:t>
      </w:r>
      <w:r w:rsidR="00A0501C">
        <w:rPr>
          <w:rFonts w:ascii="Tahoma" w:hAnsi="Tahoma" w:cs="Tahoma"/>
          <w:sz w:val="24"/>
          <w:szCs w:val="24"/>
        </w:rPr>
        <w:t xml:space="preserve"> o ličnosti</w:t>
      </w:r>
      <w:r>
        <w:rPr>
          <w:rFonts w:ascii="Tahoma" w:hAnsi="Tahoma" w:cs="Tahoma"/>
          <w:sz w:val="24"/>
          <w:szCs w:val="24"/>
        </w:rPr>
        <w:t xml:space="preserve"> u članu 2 stav 2 propisuje da se l</w:t>
      </w:r>
      <w:r w:rsidRPr="009B7E03">
        <w:rPr>
          <w:rFonts w:ascii="Tahoma" w:hAnsi="Tahoma" w:cs="Tahoma"/>
          <w:sz w:val="24"/>
          <w:szCs w:val="24"/>
        </w:rPr>
        <w:t>ični podaci ne mogu se obrađivati u većem obimu nego što je potrebno da bi se postigla svrha obrade niti na način koji nije u skladu sa njihovom namjenom</w:t>
      </w:r>
      <w:r>
        <w:rPr>
          <w:rFonts w:ascii="Tahoma" w:hAnsi="Tahoma" w:cs="Tahoma"/>
          <w:sz w:val="24"/>
          <w:szCs w:val="24"/>
        </w:rPr>
        <w:t xml:space="preserve">. </w:t>
      </w:r>
      <w:r w:rsidR="00E94F68">
        <w:rPr>
          <w:rFonts w:ascii="Tahoma" w:hAnsi="Tahoma" w:cs="Tahoma"/>
          <w:color w:val="000000" w:themeColor="text1"/>
          <w:sz w:val="24"/>
          <w:szCs w:val="24"/>
        </w:rPr>
        <w:t xml:space="preserve">Članom 9 stav 1 tačka 1 Zakona o zaštiti podataka o ličnosti propisano je da su lični podaci sve informacije koje se odnose na fizičko lice čiji je identitet utvrdjen ili se može utvrditi. Tačkom 6 istog člana propisano je da je saglasnost slobodno data izjava u pisanoj formi ili usmeno na zapisnik, kojom lice nakon što je informisano o namjeni obrade, izražava pristanak da se njegovi lični podaci obradjuju za odredjenu namjenu. </w:t>
      </w:r>
      <w:r>
        <w:rPr>
          <w:rFonts w:ascii="Tahoma" w:hAnsi="Tahoma" w:cs="Tahoma"/>
          <w:sz w:val="24"/>
          <w:szCs w:val="24"/>
        </w:rPr>
        <w:t xml:space="preserve">Član 10 stav 1 istog zakona propisuje da se </w:t>
      </w:r>
      <w:r w:rsidRPr="009B7E03">
        <w:rPr>
          <w:rFonts w:ascii="Tahoma" w:hAnsi="Tahoma" w:cs="Tahoma"/>
          <w:sz w:val="24"/>
          <w:szCs w:val="24"/>
        </w:rPr>
        <w:t>Obrada ličnih podataka može se vršiti po prethodno dobijenoj saglasnosti lica čiji se lični podaci obrađuju, koja se može opozvati u svakom trenutku</w:t>
      </w:r>
      <w:r>
        <w:rPr>
          <w:rFonts w:ascii="Tahoma" w:hAnsi="Tahoma" w:cs="Tahoma"/>
          <w:sz w:val="24"/>
          <w:szCs w:val="24"/>
        </w:rPr>
        <w:t xml:space="preserve">. </w:t>
      </w:r>
    </w:p>
    <w:p w:rsidR="003E4EB4" w:rsidRPr="009B7E03" w:rsidRDefault="009B7E03" w:rsidP="009B7E03">
      <w:pPr>
        <w:autoSpaceDE w:val="0"/>
        <w:autoSpaceDN w:val="0"/>
        <w:adjustRightInd w:val="0"/>
        <w:spacing w:after="0"/>
        <w:jc w:val="both"/>
        <w:rPr>
          <w:rFonts w:ascii="Tahoma" w:hAnsi="Tahoma" w:cs="Tahoma"/>
          <w:sz w:val="24"/>
          <w:szCs w:val="24"/>
        </w:rPr>
      </w:pPr>
      <w:r>
        <w:rPr>
          <w:rFonts w:ascii="Tahoma" w:hAnsi="Tahoma" w:cs="Tahoma"/>
          <w:sz w:val="24"/>
          <w:szCs w:val="24"/>
        </w:rPr>
        <w:t>Član 24 Zakona o slobodnom pristupu informacijama propisuje da  a</w:t>
      </w:r>
      <w:r w:rsidRPr="009B7E03">
        <w:rPr>
          <w:rFonts w:ascii="Tahoma" w:hAnsi="Tahoma" w:cs="Tahoma"/>
          <w:sz w:val="24"/>
          <w:szCs w:val="24"/>
        </w:rPr>
        <w:t>ko je dijelu informacije pristup ograničen, u skladu sa članom 14 ovog zakona, organ vlasti dužan je da omogući pristup informaciji dostavljanjem njene kopije podnosiocu zahtjeva, nakon brisanja dijela informa</w:t>
      </w:r>
      <w:r w:rsidR="00E94F68">
        <w:rPr>
          <w:rFonts w:ascii="Tahoma" w:hAnsi="Tahoma" w:cs="Tahoma"/>
          <w:sz w:val="24"/>
          <w:szCs w:val="24"/>
        </w:rPr>
        <w:t>cije kojem je pristup ograničen, što je prvostepeni organ u konkretnom slučaju i učinio.</w:t>
      </w:r>
    </w:p>
    <w:p w:rsidR="00353881" w:rsidRDefault="00C24852" w:rsidP="003E4EB4">
      <w:pPr>
        <w:jc w:val="both"/>
        <w:rPr>
          <w:rFonts w:ascii="Tahoma" w:hAnsi="Tahoma" w:cs="Tahoma"/>
          <w:sz w:val="24"/>
          <w:szCs w:val="24"/>
        </w:rPr>
      </w:pPr>
      <w:r>
        <w:rPr>
          <w:rFonts w:ascii="Tahoma" w:hAnsi="Tahoma" w:cs="Tahoma"/>
          <w:sz w:val="24"/>
          <w:szCs w:val="24"/>
        </w:rPr>
        <w:t>Prvostepeni organ je</w:t>
      </w:r>
      <w:r w:rsidR="009B7E03">
        <w:rPr>
          <w:rFonts w:ascii="Tahoma" w:hAnsi="Tahoma" w:cs="Tahoma"/>
          <w:sz w:val="24"/>
          <w:szCs w:val="24"/>
        </w:rPr>
        <w:t xml:space="preserve"> pravilno</w:t>
      </w:r>
      <w:r w:rsidR="00C34770">
        <w:rPr>
          <w:rFonts w:ascii="Tahoma" w:hAnsi="Tahoma" w:cs="Tahoma"/>
          <w:sz w:val="24"/>
          <w:szCs w:val="24"/>
        </w:rPr>
        <w:t xml:space="preserve"> primijenio materijalno pravo i</w:t>
      </w:r>
      <w:r w:rsidR="009B7E03">
        <w:rPr>
          <w:rFonts w:ascii="Tahoma" w:hAnsi="Tahoma" w:cs="Tahoma"/>
          <w:sz w:val="24"/>
          <w:szCs w:val="24"/>
        </w:rPr>
        <w:t xml:space="preserve"> ocijenio da</w:t>
      </w:r>
      <w:r>
        <w:rPr>
          <w:rFonts w:ascii="Tahoma" w:hAnsi="Tahoma" w:cs="Tahoma"/>
          <w:sz w:val="24"/>
          <w:szCs w:val="24"/>
        </w:rPr>
        <w:t xml:space="preserve"> dio informacije koji sadrži podatke o ličnosti  </w:t>
      </w:r>
      <w:r w:rsidR="003140EC">
        <w:rPr>
          <w:rFonts w:ascii="Tahoma" w:hAnsi="Tahoma" w:cs="Tahoma"/>
          <w:sz w:val="24"/>
          <w:szCs w:val="24"/>
        </w:rPr>
        <w:t xml:space="preserve">treba zaštiti shodno odredbama člana 14 stav 1 tačka 1, te ostatak </w:t>
      </w:r>
      <w:r w:rsidR="00E94F68">
        <w:rPr>
          <w:rFonts w:ascii="Tahoma" w:hAnsi="Tahoma" w:cs="Tahoma"/>
          <w:sz w:val="24"/>
          <w:szCs w:val="24"/>
        </w:rPr>
        <w:t xml:space="preserve">informacije učiniti dostupnim uz pravilnu primjenu </w:t>
      </w:r>
      <w:r w:rsidR="009B7E03">
        <w:rPr>
          <w:rFonts w:ascii="Tahoma" w:hAnsi="Tahoma" w:cs="Tahoma"/>
          <w:sz w:val="24"/>
          <w:szCs w:val="24"/>
        </w:rPr>
        <w:t>člana 24 stav 1</w:t>
      </w:r>
      <w:r w:rsidR="003140EC">
        <w:rPr>
          <w:rFonts w:ascii="Tahoma" w:hAnsi="Tahoma" w:cs="Tahoma"/>
          <w:sz w:val="24"/>
          <w:szCs w:val="24"/>
        </w:rPr>
        <w:t xml:space="preserve"> Zakona o slobodnom pristupu informacijama. Nadalje, stav je Savjeta da je postupanje prvostepenog organa u pogledu stava 2 dispozitiva rješenja takođe u skladu sa odredbama člana 2 s</w:t>
      </w:r>
      <w:r w:rsidR="00A0501C">
        <w:rPr>
          <w:rFonts w:ascii="Tahoma" w:hAnsi="Tahoma" w:cs="Tahoma"/>
          <w:sz w:val="24"/>
          <w:szCs w:val="24"/>
        </w:rPr>
        <w:t>tav 2</w:t>
      </w:r>
      <w:r w:rsidR="003140EC">
        <w:rPr>
          <w:rFonts w:ascii="Tahoma" w:hAnsi="Tahoma" w:cs="Tahoma"/>
          <w:sz w:val="24"/>
          <w:szCs w:val="24"/>
        </w:rPr>
        <w:t xml:space="preserve"> Zakona o zaštiti podataka o ličnosti, te da je istim predviđeno da se podaci o ličnosti mogu obrađivati za namjenu koja je određena zakonom ili uz prethodno pribavljenu saglasnost lica čiji se podaci obrađuju. U konkretnom slučaju , pri ispitivanju zakonitosti ožalbenog  rješenja, Savjet Agencije je uzimajući kao pr</w:t>
      </w:r>
      <w:r w:rsidR="005A13F0">
        <w:rPr>
          <w:rFonts w:ascii="Tahoma" w:hAnsi="Tahoma" w:cs="Tahoma"/>
          <w:sz w:val="24"/>
          <w:szCs w:val="24"/>
        </w:rPr>
        <w:t>evashodno pravo javnosti da zna, stanovišta da je informacija na način na koji je prvostepeni orga</w:t>
      </w:r>
      <w:r w:rsidR="00C34770">
        <w:rPr>
          <w:rFonts w:ascii="Tahoma" w:hAnsi="Tahoma" w:cs="Tahoma"/>
          <w:sz w:val="24"/>
          <w:szCs w:val="24"/>
        </w:rPr>
        <w:t xml:space="preserve">n dostavio </w:t>
      </w:r>
      <w:r w:rsidR="005A13F0">
        <w:rPr>
          <w:rFonts w:ascii="Tahoma" w:hAnsi="Tahoma" w:cs="Tahoma"/>
          <w:sz w:val="24"/>
          <w:szCs w:val="24"/>
        </w:rPr>
        <w:t xml:space="preserve">žaliocu u obliku koji je </w:t>
      </w:r>
      <w:r w:rsidR="005A13F0">
        <w:rPr>
          <w:rFonts w:ascii="Tahoma" w:hAnsi="Tahoma" w:cs="Tahoma"/>
          <w:sz w:val="24"/>
          <w:szCs w:val="24"/>
        </w:rPr>
        <w:lastRenderedPageBreak/>
        <w:t xml:space="preserve">poštujući odredbe zakona koji uređuju ovu oblast, i da je na taj način udovoljeno zahtjevu podnosioca i omogućen pristup traženoj informaciji. </w:t>
      </w:r>
      <w:r w:rsidR="003140EC">
        <w:rPr>
          <w:rFonts w:ascii="Tahoma" w:hAnsi="Tahoma" w:cs="Tahoma"/>
          <w:sz w:val="24"/>
          <w:szCs w:val="24"/>
        </w:rPr>
        <w:t xml:space="preserve"> </w:t>
      </w:r>
    </w:p>
    <w:p w:rsidR="00353881" w:rsidRPr="006923A1" w:rsidRDefault="00353881" w:rsidP="00353881">
      <w:pPr>
        <w:jc w:val="both"/>
        <w:rPr>
          <w:rFonts w:ascii="Tahoma" w:hAnsi="Tahoma" w:cs="Tahoma"/>
          <w:color w:val="000000" w:themeColor="text1"/>
          <w:sz w:val="24"/>
          <w:szCs w:val="24"/>
        </w:rPr>
      </w:pPr>
      <w:r>
        <w:rPr>
          <w:rFonts w:ascii="Tahoma" w:hAnsi="Tahoma" w:cs="Tahoma"/>
          <w:sz w:val="24"/>
          <w:szCs w:val="24"/>
        </w:rPr>
        <w:t xml:space="preserve">Savjet je zauzeo stav da je prvostepeni organ pravilno primijenio materijalno pravo i utvrdio činjenično stanje u pogledu zaštite podataka o ličnosti , te da je žalba neosnovana. Naime Savjet je cijenio zakonitost akta, i našao da žalbu valja odbiti kao neosnovanu. </w:t>
      </w:r>
    </w:p>
    <w:p w:rsidR="00353881" w:rsidRDefault="00353881" w:rsidP="00353881">
      <w:pPr>
        <w:jc w:val="both"/>
        <w:rPr>
          <w:rFonts w:ascii="Tahoma" w:hAnsi="Tahoma" w:cs="Tahoma"/>
          <w:sz w:val="24"/>
          <w:szCs w:val="24"/>
        </w:rPr>
      </w:pPr>
      <w:r w:rsidRPr="00437897">
        <w:rPr>
          <w:rFonts w:ascii="Tahoma" w:hAnsi="Tahoma" w:cs="Tahoma"/>
          <w:sz w:val="24"/>
          <w:szCs w:val="24"/>
        </w:rPr>
        <w:t>Savjet Agencije je cijenio i ostale navode iz žalbe, pa je našao da nijesu od uticaja za drukčije rješavanje u ovoj pravnoj stvari.</w:t>
      </w:r>
    </w:p>
    <w:p w:rsidR="002845D6" w:rsidRPr="00A657F5" w:rsidRDefault="003140EC" w:rsidP="002845D6">
      <w:pPr>
        <w:jc w:val="both"/>
        <w:rPr>
          <w:rFonts w:ascii="Tahoma" w:hAnsi="Tahoma" w:cs="Tahoma"/>
          <w:sz w:val="24"/>
          <w:szCs w:val="24"/>
        </w:rPr>
      </w:pPr>
      <w:r>
        <w:rPr>
          <w:rFonts w:ascii="Tahoma" w:hAnsi="Tahoma" w:cs="Tahoma"/>
          <w:sz w:val="24"/>
          <w:szCs w:val="24"/>
        </w:rPr>
        <w:t xml:space="preserve"> </w:t>
      </w:r>
      <w:r w:rsidR="002845D6">
        <w:rPr>
          <w:rFonts w:ascii="Tahoma" w:hAnsi="Tahoma" w:cs="Tahoma"/>
          <w:sz w:val="24"/>
          <w:szCs w:val="24"/>
        </w:rPr>
        <w:t>S</w:t>
      </w:r>
      <w:r w:rsidR="002845D6" w:rsidRPr="00A657F5">
        <w:rPr>
          <w:rFonts w:ascii="Tahoma" w:hAnsi="Tahoma" w:cs="Tahoma"/>
          <w:sz w:val="24"/>
          <w:szCs w:val="24"/>
        </w:rPr>
        <w:t>a izn</w:t>
      </w:r>
      <w:r w:rsidR="002845D6">
        <w:rPr>
          <w:rFonts w:ascii="Tahoma" w:hAnsi="Tahoma" w:cs="Tahoma"/>
          <w:sz w:val="24"/>
          <w:szCs w:val="24"/>
        </w:rPr>
        <w:t>i</w:t>
      </w:r>
      <w:r w:rsidR="002845D6" w:rsidRPr="00A657F5">
        <w:rPr>
          <w:rFonts w:ascii="Tahoma" w:hAnsi="Tahoma" w:cs="Tahoma"/>
          <w:sz w:val="24"/>
          <w:szCs w:val="24"/>
        </w:rPr>
        <w:t>jetih razloga, shodno članu 38 Zakona o slobodnom pristupu informacijama i člana 23</w:t>
      </w:r>
      <w:r w:rsidR="002845D6">
        <w:rPr>
          <w:rFonts w:ascii="Tahoma" w:hAnsi="Tahoma" w:cs="Tahoma"/>
          <w:sz w:val="24"/>
          <w:szCs w:val="24"/>
        </w:rPr>
        <w:t>5</w:t>
      </w:r>
      <w:r w:rsidR="002845D6" w:rsidRPr="00A657F5">
        <w:rPr>
          <w:rFonts w:ascii="Tahoma" w:hAnsi="Tahoma" w:cs="Tahoma"/>
          <w:sz w:val="24"/>
          <w:szCs w:val="24"/>
        </w:rPr>
        <w:t xml:space="preserve"> stav 1 Zakona o opštem upravnom postupku, odlučeno je kao u izreci.</w:t>
      </w:r>
    </w:p>
    <w:p w:rsidR="002845D6" w:rsidRPr="00A657F5" w:rsidRDefault="002845D6" w:rsidP="002845D6">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2845D6" w:rsidRPr="00A657F5" w:rsidRDefault="002845D6" w:rsidP="002845D6">
      <w:pPr>
        <w:spacing w:after="0"/>
        <w:jc w:val="right"/>
        <w:rPr>
          <w:rFonts w:ascii="Tahoma" w:hAnsi="Tahoma" w:cs="Tahoma"/>
          <w:b/>
          <w:sz w:val="28"/>
          <w:szCs w:val="28"/>
        </w:rPr>
      </w:pPr>
      <w:r w:rsidRPr="00A657F5">
        <w:rPr>
          <w:rFonts w:ascii="Tahoma" w:hAnsi="Tahoma" w:cs="Tahoma"/>
          <w:b/>
          <w:sz w:val="28"/>
          <w:szCs w:val="28"/>
        </w:rPr>
        <w:t>SAVJET AGENCIJE:</w:t>
      </w:r>
    </w:p>
    <w:p w:rsidR="002845D6" w:rsidRPr="00A657F5" w:rsidRDefault="002845D6" w:rsidP="002845D6">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2845D6">
      <w:pPr>
        <w:jc w:val="both"/>
        <w:rPr>
          <w:sz w:val="20"/>
          <w:szCs w:val="20"/>
        </w:rPr>
      </w:pPr>
      <w:bookmarkStart w:id="1" w:name="_GoBack"/>
      <w:bookmarkEnd w:id="1"/>
    </w:p>
    <w:sectPr w:rsidR="00306A70" w:rsidRPr="00A657F5" w:rsidSect="00C92C27">
      <w:headerReference w:type="even" r:id="rId8"/>
      <w:headerReference w:type="default" r:id="rId9"/>
      <w:footerReference w:type="even" r:id="rId10"/>
      <w:footerReference w:type="default" r:id="rId11"/>
      <w:headerReference w:type="first" r:id="rId12"/>
      <w:footerReference w:type="first" r:id="rId13"/>
      <w:pgSz w:w="11907" w:h="16839" w:code="9"/>
      <w:pgMar w:top="1276"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169" w:rsidRDefault="006F7169" w:rsidP="004C7646">
      <w:pPr>
        <w:spacing w:after="0" w:line="240" w:lineRule="auto"/>
      </w:pPr>
      <w:r>
        <w:separator/>
      </w:r>
    </w:p>
  </w:endnote>
  <w:endnote w:type="continuationSeparator" w:id="0">
    <w:p w:rsidR="006F7169" w:rsidRDefault="006F716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169" w:rsidRDefault="006F7169" w:rsidP="004C7646">
      <w:pPr>
        <w:spacing w:after="0" w:line="240" w:lineRule="auto"/>
      </w:pPr>
      <w:r>
        <w:separator/>
      </w:r>
    </w:p>
  </w:footnote>
  <w:footnote w:type="continuationSeparator" w:id="0">
    <w:p w:rsidR="006F7169" w:rsidRDefault="006F716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287"/>
    <w:rsid w:val="00093579"/>
    <w:rsid w:val="0009364E"/>
    <w:rsid w:val="00093976"/>
    <w:rsid w:val="000A2947"/>
    <w:rsid w:val="000A5FBB"/>
    <w:rsid w:val="000A784D"/>
    <w:rsid w:val="000B264D"/>
    <w:rsid w:val="000B4067"/>
    <w:rsid w:val="000C1A52"/>
    <w:rsid w:val="000C1D26"/>
    <w:rsid w:val="000C28E8"/>
    <w:rsid w:val="000C5629"/>
    <w:rsid w:val="000C5699"/>
    <w:rsid w:val="000D15AF"/>
    <w:rsid w:val="000D5F19"/>
    <w:rsid w:val="000D7742"/>
    <w:rsid w:val="000E0870"/>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C86"/>
    <w:rsid w:val="0016437C"/>
    <w:rsid w:val="001726EE"/>
    <w:rsid w:val="00173B25"/>
    <w:rsid w:val="00176B92"/>
    <w:rsid w:val="00177889"/>
    <w:rsid w:val="00177E14"/>
    <w:rsid w:val="001800C4"/>
    <w:rsid w:val="001802C9"/>
    <w:rsid w:val="00180590"/>
    <w:rsid w:val="0018167D"/>
    <w:rsid w:val="001869CC"/>
    <w:rsid w:val="00193900"/>
    <w:rsid w:val="001956C5"/>
    <w:rsid w:val="00195B01"/>
    <w:rsid w:val="00195D83"/>
    <w:rsid w:val="001962B1"/>
    <w:rsid w:val="001973DE"/>
    <w:rsid w:val="001A0279"/>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1EC"/>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89C"/>
    <w:rsid w:val="00252990"/>
    <w:rsid w:val="00254E43"/>
    <w:rsid w:val="00255380"/>
    <w:rsid w:val="002554F2"/>
    <w:rsid w:val="002604CB"/>
    <w:rsid w:val="00260E80"/>
    <w:rsid w:val="00262236"/>
    <w:rsid w:val="00263800"/>
    <w:rsid w:val="00265736"/>
    <w:rsid w:val="00274A7A"/>
    <w:rsid w:val="00275730"/>
    <w:rsid w:val="002759EA"/>
    <w:rsid w:val="00276830"/>
    <w:rsid w:val="0027721F"/>
    <w:rsid w:val="002813E8"/>
    <w:rsid w:val="00281735"/>
    <w:rsid w:val="00281C13"/>
    <w:rsid w:val="0028369A"/>
    <w:rsid w:val="002839A1"/>
    <w:rsid w:val="00283A2E"/>
    <w:rsid w:val="002845D6"/>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6FA"/>
    <w:rsid w:val="002F33C1"/>
    <w:rsid w:val="002F6E7B"/>
    <w:rsid w:val="002F6F7C"/>
    <w:rsid w:val="00301029"/>
    <w:rsid w:val="003025C4"/>
    <w:rsid w:val="00306A70"/>
    <w:rsid w:val="0031108A"/>
    <w:rsid w:val="00311690"/>
    <w:rsid w:val="00311C83"/>
    <w:rsid w:val="003140C3"/>
    <w:rsid w:val="003140EC"/>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3881"/>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4EB4"/>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E718C"/>
    <w:rsid w:val="004F176A"/>
    <w:rsid w:val="004F1BF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13F0"/>
    <w:rsid w:val="005A3749"/>
    <w:rsid w:val="005B2DB1"/>
    <w:rsid w:val="005B387E"/>
    <w:rsid w:val="005B4EFB"/>
    <w:rsid w:val="005B504C"/>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A2"/>
    <w:rsid w:val="0064066C"/>
    <w:rsid w:val="00640ED6"/>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DF"/>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1D62"/>
    <w:rsid w:val="006F2908"/>
    <w:rsid w:val="006F34C7"/>
    <w:rsid w:val="006F7169"/>
    <w:rsid w:val="006F7702"/>
    <w:rsid w:val="006F7901"/>
    <w:rsid w:val="006F7EB5"/>
    <w:rsid w:val="007000ED"/>
    <w:rsid w:val="00704624"/>
    <w:rsid w:val="0070469E"/>
    <w:rsid w:val="007053D0"/>
    <w:rsid w:val="00707F6D"/>
    <w:rsid w:val="0071235E"/>
    <w:rsid w:val="0071257D"/>
    <w:rsid w:val="00712A50"/>
    <w:rsid w:val="0071382D"/>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2B0"/>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5EE4"/>
    <w:rsid w:val="00927C22"/>
    <w:rsid w:val="00931D46"/>
    <w:rsid w:val="00932317"/>
    <w:rsid w:val="009330B2"/>
    <w:rsid w:val="00934A6C"/>
    <w:rsid w:val="00936F36"/>
    <w:rsid w:val="00937AA6"/>
    <w:rsid w:val="00940AB8"/>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6E4"/>
    <w:rsid w:val="009A7B78"/>
    <w:rsid w:val="009A7F22"/>
    <w:rsid w:val="009B3915"/>
    <w:rsid w:val="009B3BE1"/>
    <w:rsid w:val="009B4346"/>
    <w:rsid w:val="009B6366"/>
    <w:rsid w:val="009B6443"/>
    <w:rsid w:val="009B7E03"/>
    <w:rsid w:val="009C1189"/>
    <w:rsid w:val="009C1598"/>
    <w:rsid w:val="009C5551"/>
    <w:rsid w:val="009C6E1D"/>
    <w:rsid w:val="009D3421"/>
    <w:rsid w:val="009D65BA"/>
    <w:rsid w:val="009D6746"/>
    <w:rsid w:val="009E0D9D"/>
    <w:rsid w:val="009E615E"/>
    <w:rsid w:val="009E62D9"/>
    <w:rsid w:val="009F0100"/>
    <w:rsid w:val="009F0958"/>
    <w:rsid w:val="009F266A"/>
    <w:rsid w:val="009F3431"/>
    <w:rsid w:val="009F3849"/>
    <w:rsid w:val="009F73BD"/>
    <w:rsid w:val="009F7CAA"/>
    <w:rsid w:val="00A007FC"/>
    <w:rsid w:val="00A0159D"/>
    <w:rsid w:val="00A04949"/>
    <w:rsid w:val="00A0501C"/>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1A8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36AC"/>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3DB"/>
    <w:rsid w:val="00AD5BD4"/>
    <w:rsid w:val="00AD6CA8"/>
    <w:rsid w:val="00AD6E7F"/>
    <w:rsid w:val="00AE3B95"/>
    <w:rsid w:val="00AE3E2A"/>
    <w:rsid w:val="00AE4858"/>
    <w:rsid w:val="00AE4F5C"/>
    <w:rsid w:val="00AE507E"/>
    <w:rsid w:val="00AE54AB"/>
    <w:rsid w:val="00AE6469"/>
    <w:rsid w:val="00AE6EC0"/>
    <w:rsid w:val="00AF1906"/>
    <w:rsid w:val="00AF2552"/>
    <w:rsid w:val="00AF2C4C"/>
    <w:rsid w:val="00AF4E76"/>
    <w:rsid w:val="00AF633C"/>
    <w:rsid w:val="00B002D0"/>
    <w:rsid w:val="00B00BCC"/>
    <w:rsid w:val="00B02BF4"/>
    <w:rsid w:val="00B04987"/>
    <w:rsid w:val="00B04A24"/>
    <w:rsid w:val="00B05F37"/>
    <w:rsid w:val="00B07848"/>
    <w:rsid w:val="00B07BBA"/>
    <w:rsid w:val="00B10062"/>
    <w:rsid w:val="00B1022F"/>
    <w:rsid w:val="00B146F9"/>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5A4B"/>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BF6554"/>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4852"/>
    <w:rsid w:val="00C26009"/>
    <w:rsid w:val="00C26054"/>
    <w:rsid w:val="00C261C4"/>
    <w:rsid w:val="00C2793D"/>
    <w:rsid w:val="00C27E4C"/>
    <w:rsid w:val="00C30A69"/>
    <w:rsid w:val="00C327F6"/>
    <w:rsid w:val="00C33B3C"/>
    <w:rsid w:val="00C345DE"/>
    <w:rsid w:val="00C34770"/>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2C2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749A"/>
    <w:rsid w:val="00E00253"/>
    <w:rsid w:val="00E00B14"/>
    <w:rsid w:val="00E0230A"/>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5C45"/>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4F68"/>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1A9"/>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3521"/>
    <w:rsid w:val="00F053A8"/>
    <w:rsid w:val="00F072C1"/>
    <w:rsid w:val="00F07B41"/>
    <w:rsid w:val="00F137EF"/>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B6C66"/>
    <w:rsid w:val="00FC42E9"/>
    <w:rsid w:val="00FC4EF8"/>
    <w:rsid w:val="00FC653E"/>
    <w:rsid w:val="00FC7F15"/>
    <w:rsid w:val="00FD01B3"/>
    <w:rsid w:val="00FD044C"/>
    <w:rsid w:val="00FD2988"/>
    <w:rsid w:val="00FD7529"/>
    <w:rsid w:val="00FD7DA7"/>
    <w:rsid w:val="00FE0F4F"/>
    <w:rsid w:val="00FE16BC"/>
    <w:rsid w:val="00FE5A82"/>
    <w:rsid w:val="00FE653A"/>
    <w:rsid w:val="00FE6B82"/>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03D67"/>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30">
    <w:name w:val="Body text (3)_"/>
    <w:basedOn w:val="DefaultParagraphFont"/>
    <w:link w:val="Bodytext31"/>
    <w:rsid w:val="00AE3E2A"/>
    <w:rPr>
      <w:rFonts w:ascii="Trebuchet MS" w:eastAsia="Trebuchet MS" w:hAnsi="Trebuchet MS" w:cs="Trebuchet MS"/>
      <w:sz w:val="20"/>
      <w:szCs w:val="20"/>
      <w:shd w:val="clear" w:color="auto" w:fill="FFFFFF"/>
    </w:rPr>
  </w:style>
  <w:style w:type="paragraph" w:customStyle="1" w:styleId="Bodytext31">
    <w:name w:val="Body text (3)"/>
    <w:basedOn w:val="Normal"/>
    <w:link w:val="Bodytext30"/>
    <w:rsid w:val="00AE3E2A"/>
    <w:pPr>
      <w:shd w:val="clear" w:color="auto" w:fill="FFFFFF"/>
      <w:spacing w:before="240" w:after="240" w:line="266" w:lineRule="exact"/>
      <w:jc w:val="both"/>
    </w:pPr>
    <w:rPr>
      <w:rFonts w:ascii="Trebuchet MS" w:eastAsia="Trebuchet MS" w:hAnsi="Trebuchet MS" w:cs="Trebuchet MS"/>
      <w:sz w:val="20"/>
      <w:szCs w:val="20"/>
    </w:rPr>
  </w:style>
  <w:style w:type="character" w:customStyle="1" w:styleId="Heading3">
    <w:name w:val="Heading #3_"/>
    <w:basedOn w:val="DefaultParagraphFont"/>
    <w:link w:val="Heading30"/>
    <w:rsid w:val="001D11EC"/>
    <w:rPr>
      <w:rFonts w:ascii="Trebuchet MS" w:eastAsia="Trebuchet MS" w:hAnsi="Trebuchet MS" w:cs="Trebuchet MS"/>
      <w:sz w:val="20"/>
      <w:szCs w:val="20"/>
      <w:shd w:val="clear" w:color="auto" w:fill="FFFFFF"/>
    </w:rPr>
  </w:style>
  <w:style w:type="character" w:customStyle="1" w:styleId="Heading3Spacing3pt">
    <w:name w:val="Heading #3 + Spacing 3 pt"/>
    <w:basedOn w:val="Heading3"/>
    <w:rsid w:val="001D11EC"/>
    <w:rPr>
      <w:rFonts w:ascii="Trebuchet MS" w:eastAsia="Trebuchet MS" w:hAnsi="Trebuchet MS" w:cs="Trebuchet MS"/>
      <w:spacing w:val="70"/>
      <w:sz w:val="20"/>
      <w:szCs w:val="20"/>
      <w:shd w:val="clear" w:color="auto" w:fill="FFFFFF"/>
    </w:rPr>
  </w:style>
  <w:style w:type="paragraph" w:customStyle="1" w:styleId="Heading30">
    <w:name w:val="Heading #3"/>
    <w:basedOn w:val="Normal"/>
    <w:link w:val="Heading3"/>
    <w:rsid w:val="001D11EC"/>
    <w:pPr>
      <w:shd w:val="clear" w:color="auto" w:fill="FFFFFF"/>
      <w:spacing w:before="720" w:after="540" w:line="0" w:lineRule="atLeast"/>
      <w:outlineLvl w:val="2"/>
    </w:pPr>
    <w:rPr>
      <w:rFonts w:ascii="Trebuchet MS" w:eastAsia="Trebuchet MS" w:hAnsi="Trebuchet MS" w:cs="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2037E-F410-4AE1-825B-E8D5A786E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2498</Words>
  <Characters>14242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2017-09-21T12:40:00Z</cp:lastPrinted>
  <dcterms:created xsi:type="dcterms:W3CDTF">2017-09-21T12:36:00Z</dcterms:created>
  <dcterms:modified xsi:type="dcterms:W3CDTF">2017-12-18T06:54:00Z</dcterms:modified>
</cp:coreProperties>
</file>