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C64C81">
        <w:rPr>
          <w:rFonts w:ascii="Tahoma" w:hAnsi="Tahoma" w:cs="Tahoma"/>
          <w:b/>
          <w:sz w:val="24"/>
          <w:szCs w:val="24"/>
        </w:rPr>
        <w:t>2957</w:t>
      </w:r>
      <w:r w:rsidR="0050708C">
        <w:rPr>
          <w:rFonts w:ascii="Tahoma" w:hAnsi="Tahoma" w:cs="Tahoma"/>
          <w:b/>
          <w:sz w:val="24"/>
          <w:szCs w:val="24"/>
        </w:rPr>
        <w:t>-2/1</w:t>
      </w:r>
      <w:r w:rsidR="00C64C81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64C81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C64C81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1</w:t>
      </w:r>
      <w:r w:rsidR="0080551C">
        <w:rPr>
          <w:rFonts w:ascii="Tahoma" w:hAnsi="Tahoma" w:cs="Tahoma"/>
          <w:sz w:val="24"/>
          <w:szCs w:val="24"/>
          <w:lang w:val="sr-Latn-CS"/>
        </w:rPr>
        <w:t>6</w:t>
      </w:r>
      <w:r w:rsidR="00C272D0">
        <w:rPr>
          <w:rFonts w:ascii="Tahoma" w:hAnsi="Tahoma" w:cs="Tahoma"/>
          <w:sz w:val="24"/>
          <w:szCs w:val="24"/>
          <w:lang w:val="sr-Latn-CS"/>
        </w:rPr>
        <w:t>/</w:t>
      </w:r>
      <w:r w:rsidR="00042738">
        <w:rPr>
          <w:rFonts w:ascii="Tahoma" w:hAnsi="Tahoma" w:cs="Tahoma"/>
          <w:sz w:val="24"/>
          <w:szCs w:val="24"/>
          <w:lang w:val="sr-Latn-CS"/>
        </w:rPr>
        <w:t>101006</w:t>
      </w:r>
      <w:r w:rsidR="00C272D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42738">
        <w:rPr>
          <w:rFonts w:ascii="Tahoma" w:hAnsi="Tahoma" w:cs="Tahoma"/>
          <w:sz w:val="24"/>
          <w:szCs w:val="24"/>
          <w:lang w:val="sr-Latn-CS"/>
        </w:rPr>
        <w:t>03</w:t>
      </w:r>
      <w:r w:rsidR="0012260A">
        <w:rPr>
          <w:rFonts w:ascii="Tahoma" w:hAnsi="Tahoma" w:cs="Tahoma"/>
          <w:sz w:val="24"/>
          <w:szCs w:val="24"/>
          <w:lang w:val="sr-Latn-CS"/>
        </w:rPr>
        <w:t>.</w:t>
      </w:r>
      <w:r w:rsidR="00042738">
        <w:rPr>
          <w:rFonts w:ascii="Tahoma" w:hAnsi="Tahoma" w:cs="Tahoma"/>
          <w:sz w:val="24"/>
          <w:szCs w:val="24"/>
          <w:lang w:val="sr-Latn-CS"/>
        </w:rPr>
        <w:t>11</w:t>
      </w:r>
      <w:r w:rsidR="0012260A">
        <w:rPr>
          <w:rFonts w:ascii="Tahoma" w:hAnsi="Tahoma" w:cs="Tahoma"/>
          <w:sz w:val="24"/>
          <w:szCs w:val="24"/>
          <w:lang w:val="sr-Latn-CS"/>
        </w:rPr>
        <w:t>.201</w:t>
      </w:r>
      <w:r w:rsidR="00042738">
        <w:rPr>
          <w:rFonts w:ascii="Tahoma" w:hAnsi="Tahoma" w:cs="Tahoma"/>
          <w:sz w:val="24"/>
          <w:szCs w:val="24"/>
          <w:lang w:val="sr-Latn-CS"/>
        </w:rPr>
        <w:t>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</w:t>
      </w:r>
      <w:r w:rsidR="00C64C81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27961">
        <w:rPr>
          <w:rFonts w:ascii="Tahoma" w:hAnsi="Tahoma" w:cs="Tahoma"/>
          <w:sz w:val="24"/>
          <w:szCs w:val="24"/>
          <w:lang w:val="sr-Latn-CS"/>
        </w:rPr>
        <w:t>08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27961">
        <w:rPr>
          <w:rFonts w:ascii="Tahoma" w:hAnsi="Tahoma" w:cs="Tahoma"/>
          <w:sz w:val="24"/>
          <w:szCs w:val="24"/>
          <w:lang w:val="sr-Latn-CS"/>
        </w:rPr>
        <w:t>03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50708C" w:rsidRPr="00BF314B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2D0">
        <w:rPr>
          <w:rFonts w:ascii="Tahoma" w:hAnsi="Tahoma" w:cs="Tahoma"/>
          <w:sz w:val="24"/>
          <w:szCs w:val="24"/>
          <w:lang w:val="sr-Latn-CS"/>
        </w:rPr>
        <w:t>Privredne komore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22E6">
        <w:rPr>
          <w:rFonts w:ascii="Tahoma" w:hAnsi="Tahoma" w:cs="Tahoma"/>
          <w:sz w:val="24"/>
          <w:szCs w:val="24"/>
          <w:lang w:val="sr-Latn-CS"/>
        </w:rPr>
        <w:t>05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E22E6">
        <w:rPr>
          <w:rFonts w:ascii="Tahoma" w:hAnsi="Tahoma" w:cs="Tahoma"/>
          <w:sz w:val="24"/>
          <w:szCs w:val="24"/>
          <w:lang w:val="sr-Latn-CS"/>
        </w:rPr>
        <w:t>10.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026F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D91B8B">
        <w:rPr>
          <w:rFonts w:ascii="Tahoma" w:hAnsi="Tahoma" w:cs="Tahoma"/>
          <w:sz w:val="24"/>
          <w:szCs w:val="24"/>
          <w:lang w:val="sr-Latn-CS"/>
        </w:rPr>
        <w:t xml:space="preserve"> svim uspost</w:t>
      </w:r>
      <w:r w:rsidR="00002202">
        <w:rPr>
          <w:rFonts w:ascii="Tahoma" w:hAnsi="Tahoma" w:cs="Tahoma"/>
          <w:sz w:val="24"/>
          <w:szCs w:val="24"/>
          <w:lang w:val="sr-Latn-CS"/>
        </w:rPr>
        <w:t>av</w:t>
      </w:r>
      <w:r w:rsidR="00D91B8B">
        <w:rPr>
          <w:rFonts w:ascii="Tahoma" w:hAnsi="Tahoma" w:cs="Tahoma"/>
          <w:sz w:val="24"/>
          <w:szCs w:val="24"/>
          <w:lang w:val="sr-Latn-CS"/>
        </w:rPr>
        <w:t xml:space="preserve">ljenim saradnjama sa drugim arbitražnim institucijama u periodu od 01.07.2016.godine do 31.08.2016.godine 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(veza sa mjerom broj: 1.4.2.7.3.2. Akcionog plana za poglavlje 23.)</w:t>
      </w:r>
    </w:p>
    <w:p w:rsidR="00F777AF" w:rsidRPr="00F777AF" w:rsidRDefault="00F777AF" w:rsidP="00F777A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272A97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</w:t>
      </w:r>
      <w:r w:rsidR="00656DD0">
        <w:rPr>
          <w:rFonts w:ascii="Tahoma" w:hAnsi="Tahoma" w:cs="Tahoma"/>
          <w:sz w:val="24"/>
          <w:szCs w:val="24"/>
        </w:rPr>
        <w:t>enje ili upravlja javnim fondom.</w:t>
      </w:r>
      <w:r w:rsidR="00272A97" w:rsidRPr="00272A97">
        <w:rPr>
          <w:rFonts w:ascii="Tahoma" w:hAnsi="Tahoma" w:cs="Tahoma"/>
          <w:sz w:val="24"/>
          <w:szCs w:val="24"/>
        </w:rPr>
        <w:t xml:space="preserve"> </w:t>
      </w:r>
    </w:p>
    <w:p w:rsidR="00F777AF" w:rsidRDefault="00F777AF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</w:t>
      </w:r>
      <w:r w:rsidR="00FA14A6">
        <w:rPr>
          <w:rFonts w:ascii="Tahoma" w:hAnsi="Tahoma" w:cs="Tahoma"/>
          <w:sz w:val="24"/>
          <w:szCs w:val="24"/>
          <w:lang w:val="sr-Latn-CS"/>
        </w:rPr>
        <w:t xml:space="preserve"> je</w:t>
      </w:r>
      <w:r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FF0D65">
        <w:rPr>
          <w:rFonts w:ascii="Tahoma" w:hAnsi="Tahoma" w:cs="Tahoma"/>
          <w:sz w:val="24"/>
          <w:szCs w:val="24"/>
          <w:lang w:val="sr-Latn-CS"/>
        </w:rPr>
        <w:t>01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F0D65">
        <w:rPr>
          <w:rFonts w:ascii="Tahoma" w:hAnsi="Tahoma" w:cs="Tahoma"/>
          <w:sz w:val="24"/>
          <w:szCs w:val="24"/>
          <w:lang w:val="sr-Latn-CS"/>
        </w:rPr>
        <w:t>12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FF0D65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>
        <w:rPr>
          <w:rFonts w:ascii="Tahoma" w:hAnsi="Tahoma" w:cs="Tahoma"/>
          <w:sz w:val="24"/>
          <w:szCs w:val="24"/>
          <w:lang w:val="sr-Latn-CS"/>
        </w:rPr>
        <w:t>07-42-</w:t>
      </w:r>
      <w:r w:rsidR="00FF0D65">
        <w:rPr>
          <w:rFonts w:ascii="Tahoma" w:hAnsi="Tahoma" w:cs="Tahoma"/>
          <w:sz w:val="24"/>
          <w:szCs w:val="24"/>
          <w:lang w:val="sr-Latn-CS"/>
        </w:rPr>
        <w:t>7558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FF0D65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F0D65">
        <w:rPr>
          <w:rFonts w:ascii="Tahoma" w:hAnsi="Tahoma" w:cs="Tahoma"/>
          <w:sz w:val="24"/>
          <w:szCs w:val="24"/>
          <w:lang w:val="sr-Latn-CS"/>
        </w:rPr>
        <w:t>01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.</w:t>
      </w:r>
      <w:r w:rsidR="00FF0D65">
        <w:rPr>
          <w:rFonts w:ascii="Tahoma" w:hAnsi="Tahoma" w:cs="Tahoma"/>
          <w:sz w:val="24"/>
          <w:szCs w:val="24"/>
          <w:lang w:val="sr-Latn-CS"/>
        </w:rPr>
        <w:t>12</w:t>
      </w:r>
      <w:r w:rsidR="008466EA" w:rsidRPr="008466EA">
        <w:rPr>
          <w:rFonts w:ascii="Tahoma" w:hAnsi="Tahoma" w:cs="Tahoma"/>
          <w:sz w:val="24"/>
          <w:szCs w:val="24"/>
          <w:lang w:val="sr-Latn-CS"/>
        </w:rPr>
        <w:t>.201</w:t>
      </w:r>
      <w:r w:rsidR="00FF0D65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</w:t>
      </w:r>
    </w:p>
    <w:p w:rsidR="005D5B23" w:rsidRDefault="005D5B23" w:rsidP="005D5B2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Privredna komora Crne Gore je dana 06.03.2017. godine Savjetu Agenciji dostavila Izjašnjenje br. 060-320/5 u kojem se navodi sledeće: Odredbom člana 2 Zakona o Privrednoj komori Crne Gore („Sl.list CG“ .br. 42/98), propisano je da je Komora samostalna, poslovna, stručna i interesna organizacija, dok je članom 56 Statuta Privredne  komore („Sl.list CG“ .br. 17/15), propisano da se sredstva za rad Komore obezbeđuju od članskog doprinosa koji plaćaju članice Komore, prihoda od naknada za usluge koje Komora vrši u okviru svoje djelatnosti i drugih izvora. Dalje se navodi da imajući u vidu citirane zakonske propise i činjenicu da se Privredna komora Crne Gore ne finansira iz javnih prihoda, niti se radi o organu vlasti, znači da ista nije obveznik primjene Zakona o slobodnom pristupu informacijama. U bitnom se navodi  da Privredna komora Crne Gore nema obavezu donošenja rješenja po zahtjevu za dostavljanje informacija potvrdio Upravni sud Crne Gore presudom broj 1331/15 od 26.01.2016. godine kojom je poništeno rješenje Agencije za zaštitu ličnih podataka i slobodan pristup informacijama, broj UP II 986/15-1 od 29.04.2015. godine</w:t>
      </w:r>
      <w:r w:rsidRPr="008D510F">
        <w:t xml:space="preserve"> </w:t>
      </w:r>
      <w:r w:rsidRPr="008D510F">
        <w:rPr>
          <w:rFonts w:ascii="Tahoma" w:hAnsi="Tahoma" w:cs="Tahoma"/>
          <w:sz w:val="24"/>
          <w:szCs w:val="24"/>
          <w:lang w:val="sr-Latn-CS"/>
        </w:rPr>
        <w:t xml:space="preserve">na navode predmetne presude Upravnog suda Crne Gore upućujemo podnosioca žalbe: „Odredbom člana 1 Zakona o slobodnom pristupu informacijama („Sl.list CG“,br.44/12), propisano je da se pravo na pristup informacijama u posjedu organa vlasti ostvaruje na način i po postupku propisanim Zakonom, a u članu 9 stav 1 tačka 1 pod izrazom organ vlasti podrazumijeva se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 preduzetnik ili pravno lice koje vrši javno ovlašćenje ili upravlja javnim fondom.Odredbom člana 2 Zakona o Privrednoj komori Crne Gore („Sl.list R CG“,br.42/98), propisano je da je Komora samostalna, poslovna, stručna i interesna orgnizacija, dok je članom 56 Statuta Privredne komore Crne Gore („Sl.list CG“,br.17/15), propisano da se sredstva za rad Komore obezbjedjuju od članskog doprinosa koji plaćaju članice Komore, prihoda dobijenih po osnovu vršenja javnih ovlašćenja, prihoda od naknada za usluge koje Komora vrši u okviru svoje djelatnosti i drugih izvora.U konkretnom slučaju usvojena je žalba NVO MANS-a, i naloženo tužiocu da donese rješenje po njihovom zahtjevu za slobodan pristup informaciji, pa imajući u vidu citirane zakonske propise, da tužilac ne vrši javna ovlašćenja, niti se </w:t>
      </w:r>
      <w:r w:rsidRPr="008D510F">
        <w:rPr>
          <w:rFonts w:ascii="Tahoma" w:hAnsi="Tahoma" w:cs="Tahoma"/>
          <w:sz w:val="24"/>
          <w:szCs w:val="24"/>
          <w:lang w:val="sr-Latn-CS"/>
        </w:rPr>
        <w:lastRenderedPageBreak/>
        <w:t>finansira iz javnih prihoda, da se ne radi o organu vlasti, to se po stanovištu suda ne može istom naložiti donošenje rješenja po zahtjevu u skladu sa Zakonom o slobodnom pristupu informacijama. „</w:t>
      </w:r>
    </w:p>
    <w:p w:rsidR="00A9517E" w:rsidRPr="005D5B23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5D5B23"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br.1</w:t>
      </w:r>
      <w:r w:rsidR="00410805">
        <w:rPr>
          <w:rFonts w:ascii="Tahoma" w:hAnsi="Tahoma" w:cs="Tahoma"/>
          <w:sz w:val="24"/>
          <w:szCs w:val="24"/>
          <w:lang w:val="sr-Latn-CS"/>
        </w:rPr>
        <w:t>6</w:t>
      </w:r>
      <w:r w:rsidRPr="005D5B23">
        <w:rPr>
          <w:rFonts w:ascii="Tahoma" w:hAnsi="Tahoma" w:cs="Tahoma"/>
          <w:sz w:val="24"/>
          <w:szCs w:val="24"/>
          <w:lang w:val="sr-Latn-CS"/>
        </w:rPr>
        <w:t>/</w:t>
      </w:r>
      <w:r w:rsidR="005D5B23" w:rsidRPr="005D5B23">
        <w:rPr>
          <w:rFonts w:ascii="Tahoma" w:hAnsi="Tahoma" w:cs="Tahoma"/>
          <w:sz w:val="24"/>
          <w:szCs w:val="24"/>
          <w:lang w:val="sr-Latn-CS"/>
        </w:rPr>
        <w:t>101006</w:t>
      </w:r>
      <w:r w:rsidRPr="005D5B2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D5B23" w:rsidRPr="005D5B23">
        <w:rPr>
          <w:rFonts w:ascii="Tahoma" w:hAnsi="Tahoma" w:cs="Tahoma"/>
          <w:sz w:val="24"/>
          <w:szCs w:val="24"/>
          <w:lang w:val="sr-Latn-CS"/>
        </w:rPr>
        <w:t>03</w:t>
      </w:r>
      <w:r w:rsidR="0012260A" w:rsidRPr="005D5B23">
        <w:rPr>
          <w:rFonts w:ascii="Tahoma" w:hAnsi="Tahoma" w:cs="Tahoma"/>
          <w:sz w:val="24"/>
          <w:szCs w:val="24"/>
          <w:lang w:val="sr-Latn-CS"/>
        </w:rPr>
        <w:t>.</w:t>
      </w:r>
      <w:r w:rsidR="005D5B23" w:rsidRPr="005D5B23">
        <w:rPr>
          <w:rFonts w:ascii="Tahoma" w:hAnsi="Tahoma" w:cs="Tahoma"/>
          <w:sz w:val="24"/>
          <w:szCs w:val="24"/>
          <w:lang w:val="sr-Latn-CS"/>
        </w:rPr>
        <w:t>1</w:t>
      </w:r>
      <w:r w:rsidR="0012260A" w:rsidRPr="005D5B23">
        <w:rPr>
          <w:rFonts w:ascii="Tahoma" w:hAnsi="Tahoma" w:cs="Tahoma"/>
          <w:sz w:val="24"/>
          <w:szCs w:val="24"/>
          <w:lang w:val="sr-Latn-CS"/>
        </w:rPr>
        <w:t>1.201</w:t>
      </w:r>
      <w:r w:rsidR="009663A3">
        <w:rPr>
          <w:rFonts w:ascii="Tahoma" w:hAnsi="Tahoma" w:cs="Tahoma"/>
          <w:sz w:val="24"/>
          <w:szCs w:val="24"/>
          <w:lang w:val="sr-Latn-CS"/>
        </w:rPr>
        <w:t>6</w:t>
      </w:r>
      <w:r w:rsidRPr="005D5B23">
        <w:rPr>
          <w:rFonts w:ascii="Tahoma" w:hAnsi="Tahoma" w:cs="Tahoma"/>
          <w:sz w:val="24"/>
          <w:szCs w:val="24"/>
          <w:lang w:val="sr-Latn-CS"/>
        </w:rPr>
        <w:t>.godine, uvidom u spise predmeta, Zakon o Privrednoj komori („Sl.list CG“ .br. 42/98) i Statut privredne komore („Sl.list CG“ .br. 17/15), utvrdio da Privredna komora nije obveznik Zakona o slobodnom pristupu informacijama, a u smislu člana 9 Zakona,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3816" w:rsidRDefault="0076381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9663A3" w:rsidRPr="006860B7" w:rsidRDefault="009663A3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9663A3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334" w:rsidRDefault="00C02334" w:rsidP="00CB7F9A">
      <w:pPr>
        <w:spacing w:after="0" w:line="240" w:lineRule="auto"/>
      </w:pPr>
      <w:r>
        <w:separator/>
      </w:r>
    </w:p>
  </w:endnote>
  <w:endnote w:type="continuationSeparator" w:id="0">
    <w:p w:rsidR="00C02334" w:rsidRDefault="00C0233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334" w:rsidRDefault="00C02334" w:rsidP="00CB7F9A">
      <w:pPr>
        <w:spacing w:after="0" w:line="240" w:lineRule="auto"/>
      </w:pPr>
      <w:r>
        <w:separator/>
      </w:r>
    </w:p>
  </w:footnote>
  <w:footnote w:type="continuationSeparator" w:id="0">
    <w:p w:rsidR="00C02334" w:rsidRDefault="00C0233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202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27961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73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6CD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3DF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88B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274B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151E"/>
    <w:rsid w:val="00352865"/>
    <w:rsid w:val="00353C5F"/>
    <w:rsid w:val="00354C33"/>
    <w:rsid w:val="00354FB0"/>
    <w:rsid w:val="0035593A"/>
    <w:rsid w:val="00356AEB"/>
    <w:rsid w:val="00356C64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0805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B23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1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DD0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51C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63A3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2334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4C81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B8B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6F2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47C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2E6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D65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00F4E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B73E0-10DC-4289-A6E6-791D79CCB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2017-05-24T08:41:00Z</cp:lastPrinted>
  <dcterms:created xsi:type="dcterms:W3CDTF">2015-12-16T13:08:00Z</dcterms:created>
  <dcterms:modified xsi:type="dcterms:W3CDTF">2017-12-11T09:34:00Z</dcterms:modified>
</cp:coreProperties>
</file>