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415DC3">
        <w:rPr>
          <w:rFonts w:ascii="Tahoma" w:hAnsi="Tahoma" w:cs="Tahoma"/>
          <w:b/>
          <w:sz w:val="24"/>
          <w:szCs w:val="24"/>
          <w:lang w:val="sr-Latn-CS"/>
        </w:rPr>
        <w:t>40</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08</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E21A33">
        <w:rPr>
          <w:rFonts w:ascii="Tahoma" w:hAnsi="Tahoma" w:cs="Tahoma"/>
          <w:sz w:val="24"/>
          <w:szCs w:val="24"/>
          <w:lang w:val="sr-Latn-CS"/>
        </w:rPr>
        <w:t>4</w:t>
      </w:r>
      <w:r w:rsidR="003F320D" w:rsidRPr="001903DB">
        <w:rPr>
          <w:rFonts w:ascii="Tahoma" w:hAnsi="Tahoma" w:cs="Tahoma"/>
          <w:sz w:val="24"/>
          <w:szCs w:val="24"/>
          <w:lang w:val="sr-Latn-CS"/>
        </w:rPr>
        <w:t xml:space="preserve"> od </w:t>
      </w:r>
      <w:r w:rsidR="00E13EBE">
        <w:rPr>
          <w:rFonts w:ascii="Tahoma" w:hAnsi="Tahoma" w:cs="Tahoma"/>
          <w:sz w:val="24"/>
          <w:szCs w:val="24"/>
          <w:lang w:val="sr-Latn-CS"/>
        </w:rPr>
        <w:t>08</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C205B2">
        <w:rPr>
          <w:rFonts w:ascii="Tahoma" w:hAnsi="Tahoma" w:cs="Tahoma"/>
          <w:bCs/>
          <w:color w:val="000000"/>
          <w:sz w:val="24"/>
          <w:szCs w:val="24"/>
          <w:lang w:val="sr-Latn-CS"/>
        </w:rPr>
        <w:t>88</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F32ABC" w:rsidRPr="00F32ABC">
        <w:rPr>
          <w:rFonts w:ascii="Tahoma" w:hAnsi="Tahoma" w:cs="Tahoma"/>
          <w:sz w:val="24"/>
          <w:szCs w:val="24"/>
          <w:lang w:val="sr-Latn-CS"/>
        </w:rPr>
        <w:t>br.1402-88/2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15/7864</w:t>
      </w:r>
      <w:r w:rsidR="00B031F7">
        <w:rPr>
          <w:rFonts w:ascii="Tahoma" w:hAnsi="Tahoma" w:cs="Tahoma"/>
          <w:sz w:val="24"/>
          <w:szCs w:val="24"/>
          <w:lang w:val="sr-Latn-CS"/>
        </w:rPr>
        <w:t>4</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25499E">
        <w:rPr>
          <w:rFonts w:ascii="Tahoma" w:hAnsi="Tahoma" w:cs="Tahoma"/>
          <w:sz w:val="24"/>
          <w:szCs w:val="24"/>
          <w:lang w:val="sr-Latn-CS"/>
        </w:rPr>
        <w:t>Small Hydro Power plant Kutska</w:t>
      </w:r>
      <w:r w:rsidR="00911D74" w:rsidRPr="00911D74">
        <w:rPr>
          <w:rFonts w:ascii="Tahoma" w:hAnsi="Tahoma" w:cs="Tahoma"/>
          <w:sz w:val="24"/>
          <w:szCs w:val="24"/>
          <w:lang w:val="sr-Latn-CS"/>
        </w:rPr>
        <w:t xml:space="preserve">" doo </w:t>
      </w:r>
      <w:r w:rsidR="0025499E">
        <w:rPr>
          <w:rFonts w:ascii="Tahoma" w:hAnsi="Tahoma" w:cs="Tahoma"/>
          <w:sz w:val="24"/>
          <w:szCs w:val="24"/>
          <w:lang w:val="sr-Latn-CS"/>
        </w:rPr>
        <w:t>Andrijevica</w:t>
      </w:r>
      <w:r w:rsidR="00911D74" w:rsidRPr="00911D74">
        <w:rPr>
          <w:rFonts w:ascii="Tahoma" w:hAnsi="Tahoma" w:cs="Tahoma"/>
          <w:sz w:val="24"/>
          <w:szCs w:val="24"/>
          <w:lang w:val="sr-Latn-CS"/>
        </w:rPr>
        <w:t xml:space="preserve"> dostavila u vezi ugovora o koncesiji za izgradnju malih hidroelektrana na vodotoku </w:t>
      </w:r>
      <w:r w:rsidR="0025499E">
        <w:rPr>
          <w:rFonts w:ascii="Tahoma" w:hAnsi="Tahoma" w:cs="Tahoma"/>
          <w:sz w:val="24"/>
          <w:szCs w:val="24"/>
          <w:lang w:val="sr-Latn-CS"/>
        </w:rPr>
        <w:t>Kutska rijeka</w:t>
      </w:r>
      <w:r w:rsidR="00911D74" w:rsidRPr="00911D74">
        <w:rPr>
          <w:rFonts w:ascii="Tahoma" w:hAnsi="Tahoma" w:cs="Tahoma"/>
          <w:sz w:val="24"/>
          <w:szCs w:val="24"/>
          <w:lang w:val="sr-Latn-CS"/>
        </w:rPr>
        <w:t xml:space="preserve"> od </w:t>
      </w:r>
      <w:r w:rsidR="0025499E">
        <w:rPr>
          <w:rFonts w:ascii="Tahoma" w:hAnsi="Tahoma" w:cs="Tahoma"/>
          <w:sz w:val="24"/>
          <w:szCs w:val="24"/>
          <w:lang w:val="sr-Latn-CS"/>
        </w:rPr>
        <w:t>12</w:t>
      </w:r>
      <w:r w:rsidR="00911D74" w:rsidRPr="00911D74">
        <w:rPr>
          <w:rFonts w:ascii="Tahoma" w:hAnsi="Tahoma" w:cs="Tahoma"/>
          <w:sz w:val="24"/>
          <w:szCs w:val="24"/>
          <w:lang w:val="sr-Latn-CS"/>
        </w:rPr>
        <w:t xml:space="preserve">. aprila 2014.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DE6B94">
        <w:rPr>
          <w:rFonts w:ascii="Tahoma" w:hAnsi="Tahoma" w:cs="Tahoma"/>
          <w:sz w:val="24"/>
          <w:szCs w:val="24"/>
        </w:rPr>
        <w:t>10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133469" w:rsidRPr="00133469">
        <w:rPr>
          <w:rFonts w:ascii="Tahoma" w:hAnsi="Tahoma" w:cs="Tahoma"/>
          <w:sz w:val="24"/>
          <w:szCs w:val="24"/>
        </w:rPr>
        <w:t>br. 15/78644 od 08.09.2015.godine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9E70E7">
        <w:rPr>
          <w:rFonts w:ascii="Tahoma" w:hAnsi="Tahoma" w:cs="Tahoma"/>
          <w:sz w:val="24"/>
          <w:szCs w:val="24"/>
          <w:lang w:val="sr-Latn-CS"/>
        </w:rPr>
        <w:t>4</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F32ABC" w:rsidRPr="00F32ABC">
        <w:rPr>
          <w:rFonts w:ascii="Tahoma" w:hAnsi="Tahoma" w:cs="Tahoma"/>
          <w:sz w:val="24"/>
          <w:szCs w:val="24"/>
          <w:lang w:val="sr-Latn-CS"/>
        </w:rPr>
        <w:t xml:space="preserve">br.1402-88/2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CE1B5A">
        <w:rPr>
          <w:rFonts w:ascii="Tahoma" w:hAnsi="Tahoma" w:cs="Tahoma"/>
          <w:sz w:val="24"/>
          <w:szCs w:val="24"/>
        </w:rPr>
        <w:t>4</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CE1B5A" w:rsidRPr="00CE1B5A">
        <w:rPr>
          <w:rFonts w:ascii="Tahoma" w:hAnsi="Tahoma" w:cs="Tahoma"/>
          <w:sz w:val="24"/>
          <w:szCs w:val="24"/>
        </w:rPr>
        <w:t xml:space="preserve">važeće bankarske garancije koje je firma "Small Hydro Power plant Kutska" doo Andrijevica dostavila u vezi ugovora o koncesiji za izgradnju malih hidroelektrana na vodotoku Kutska rijeka od 12. aprila 2014.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CE1B5A" w:rsidRPr="00CE1B5A">
        <w:rPr>
          <w:rFonts w:ascii="Tahoma" w:hAnsi="Tahoma" w:cs="Tahoma"/>
          <w:sz w:val="24"/>
          <w:szCs w:val="24"/>
        </w:rPr>
        <w:t>"Small Hydro Power plant Kutska" doo Andrijevica</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111C3F">
        <w:rPr>
          <w:rFonts w:ascii="Tahoma" w:hAnsi="Tahoma" w:cs="Tahoma"/>
          <w:sz w:val="24"/>
          <w:szCs w:val="24"/>
          <w:lang w:val="sr-Latn-CS"/>
        </w:rPr>
        <w:t>24</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F32ABC" w:rsidRPr="00F32ABC">
        <w:rPr>
          <w:rFonts w:ascii="Tahoma" w:hAnsi="Tahoma" w:cs="Tahoma"/>
          <w:sz w:val="24"/>
          <w:szCs w:val="24"/>
        </w:rPr>
        <w:t xml:space="preserve">br.1402-88/2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A77563">
        <w:rPr>
          <w:rFonts w:ascii="Tahoma" w:hAnsi="Tahoma" w:cs="Tahoma"/>
          <w:sz w:val="24"/>
          <w:szCs w:val="24"/>
        </w:rPr>
        <w:t>88</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 xml:space="preserve">preduzeću </w:t>
      </w:r>
      <w:r w:rsidR="00A77563" w:rsidRPr="00A77563">
        <w:rPr>
          <w:rFonts w:ascii="Tahoma" w:hAnsi="Tahoma" w:cs="Tahoma"/>
          <w:sz w:val="24"/>
          <w:szCs w:val="24"/>
        </w:rPr>
        <w:t>"Small Hydro Power plant Kutska" doo Andrijevica</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C119BF" w:rsidRPr="00C119BF">
        <w:rPr>
          <w:rFonts w:ascii="Tahoma" w:hAnsi="Tahoma" w:cs="Tahoma"/>
          <w:sz w:val="24"/>
          <w:szCs w:val="24"/>
        </w:rPr>
        <w:t xml:space="preserve">"Small Hydro Power plant Kutska" doo Andrijevica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w:t>
      </w:r>
      <w:r w:rsidR="00663578" w:rsidRPr="00663578">
        <w:rPr>
          <w:rFonts w:ascii="Tahoma" w:hAnsi="Tahoma" w:cs="Tahoma"/>
          <w:sz w:val="24"/>
          <w:szCs w:val="24"/>
        </w:rPr>
        <w:lastRenderedPageBreak/>
        <w:t>tajnu preduzeća koji bi mogli da nanesu ozbiljnu 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A569A0">
        <w:rPr>
          <w:rFonts w:ascii="Tahoma" w:hAnsi="Tahoma" w:cs="Tahoma"/>
          <w:sz w:val="24"/>
          <w:szCs w:val="24"/>
        </w:rPr>
        <w:t>39</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B54A01">
        <w:rPr>
          <w:rFonts w:ascii="Tahoma" w:hAnsi="Tahoma" w:cs="Tahoma"/>
          <w:sz w:val="24"/>
          <w:szCs w:val="24"/>
        </w:rPr>
        <w:t xml:space="preserve">4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B54A01">
        <w:rPr>
          <w:rFonts w:ascii="Tahoma" w:hAnsi="Tahoma" w:cs="Tahoma"/>
          <w:sz w:val="24"/>
          <w:szCs w:val="24"/>
        </w:rPr>
        <w:t>88</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FE43AF">
        <w:rPr>
          <w:rFonts w:ascii="Tahoma" w:hAnsi="Tahoma" w:cs="Tahoma"/>
          <w:sz w:val="24"/>
          <w:szCs w:val="24"/>
        </w:rPr>
        <w:t>0100-2-963/3</w:t>
      </w:r>
      <w:r w:rsidR="00D36AC0">
        <w:rPr>
          <w:rFonts w:ascii="Tahoma" w:hAnsi="Tahoma" w:cs="Tahoma"/>
          <w:sz w:val="24"/>
          <w:szCs w:val="24"/>
        </w:rPr>
        <w:t xml:space="preserve"> od 0</w:t>
      </w:r>
      <w:r w:rsidR="00FE43AF">
        <w:rPr>
          <w:rFonts w:ascii="Tahoma" w:hAnsi="Tahoma" w:cs="Tahoma"/>
          <w:sz w:val="24"/>
          <w:szCs w:val="24"/>
        </w:rPr>
        <w:t>6</w:t>
      </w:r>
      <w:r w:rsidR="00D36AC0">
        <w:rPr>
          <w:rFonts w:ascii="Tahoma" w:hAnsi="Tahoma" w:cs="Tahoma"/>
          <w:sz w:val="24"/>
          <w:szCs w:val="24"/>
        </w:rPr>
        <w:t xml:space="preserve">.05.2014.godine </w:t>
      </w:r>
      <w:r w:rsidR="00C95D78" w:rsidRPr="00C95D78">
        <w:rPr>
          <w:rFonts w:ascii="Tahoma" w:hAnsi="Tahoma" w:cs="Tahoma"/>
          <w:sz w:val="24"/>
          <w:szCs w:val="24"/>
        </w:rPr>
        <w:t xml:space="preserve">koju je izdala </w:t>
      </w:r>
      <w:r w:rsidR="00B95923">
        <w:rPr>
          <w:rFonts w:ascii="Tahoma" w:hAnsi="Tahoma" w:cs="Tahoma"/>
          <w:sz w:val="24"/>
          <w:szCs w:val="24"/>
        </w:rPr>
        <w:t xml:space="preserve">HIPOTEKARNA BANKA-Podgorica.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645E94" w:rsidRPr="00645E94">
        <w:rPr>
          <w:rFonts w:ascii="Tahoma" w:hAnsi="Tahoma" w:cs="Tahoma"/>
          <w:sz w:val="24"/>
          <w:szCs w:val="24"/>
        </w:rPr>
        <w:t xml:space="preserve">br. 0100-2-963/3 od 06.05.2014.godine </w:t>
      </w:r>
      <w:r w:rsidR="00DE61AB" w:rsidRPr="00DE61AB">
        <w:rPr>
          <w:rFonts w:ascii="Tahoma" w:hAnsi="Tahoma" w:cs="Tahoma"/>
          <w:sz w:val="24"/>
          <w:szCs w:val="24"/>
        </w:rPr>
        <w:t>koju je izdala HIPOTEKARNA BANKA-Podgorica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9858D8" w:rsidRPr="009858D8">
        <w:rPr>
          <w:rFonts w:ascii="Tahoma" w:hAnsi="Tahoma" w:cs="Tahoma"/>
          <w:sz w:val="24"/>
          <w:szCs w:val="24"/>
          <w:lang w:val="sr-Latn-CS"/>
        </w:rPr>
        <w:t>br.1402-88/2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w:t>
      </w:r>
      <w:r w:rsidR="00D24D24" w:rsidRPr="00D24D24">
        <w:rPr>
          <w:rFonts w:ascii="Tahoma" w:hAnsi="Tahoma" w:cs="Tahoma"/>
          <w:sz w:val="24"/>
          <w:szCs w:val="24"/>
          <w:lang w:val="sr-Latn-CS"/>
        </w:rPr>
        <w:lastRenderedPageBreak/>
        <w:t>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garanciju  </w:t>
      </w:r>
      <w:r w:rsidR="00645E94" w:rsidRPr="00645E94">
        <w:rPr>
          <w:rFonts w:ascii="Tahoma" w:hAnsi="Tahoma" w:cs="Tahoma"/>
          <w:sz w:val="24"/>
          <w:szCs w:val="24"/>
        </w:rPr>
        <w:t xml:space="preserve">br. 0100-2-963/3 od 06.05.2014.godine </w:t>
      </w:r>
      <w:r w:rsidR="00F27B7C" w:rsidRPr="00F27B7C">
        <w:rPr>
          <w:rFonts w:ascii="Tahoma" w:hAnsi="Tahoma" w:cs="Tahoma"/>
          <w:sz w:val="24"/>
          <w:szCs w:val="24"/>
        </w:rPr>
        <w:t>koju je izdala HIPOTEKARNA BANKA-Podgorica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2B6FC6">
        <w:rPr>
          <w:rFonts w:ascii="Tahoma" w:hAnsi="Tahoma" w:cs="Tahoma"/>
          <w:sz w:val="24"/>
          <w:szCs w:val="24"/>
        </w:rPr>
        <w:t>malih hidroelektrana</w:t>
      </w:r>
      <w:r w:rsidR="003E1AD5">
        <w:rPr>
          <w:rFonts w:ascii="Tahoma" w:hAnsi="Tahoma" w:cs="Tahoma"/>
          <w:sz w:val="24"/>
          <w:szCs w:val="24"/>
        </w:rPr>
        <w:t xml:space="preserve"> na vodotoku </w:t>
      </w:r>
      <w:r w:rsidR="00F27B7C">
        <w:rPr>
          <w:rFonts w:ascii="Tahoma" w:hAnsi="Tahoma" w:cs="Tahoma"/>
          <w:sz w:val="24"/>
          <w:szCs w:val="24"/>
        </w:rPr>
        <w:t xml:space="preserve"> </w:t>
      </w:r>
      <w:r w:rsidR="006F316A">
        <w:rPr>
          <w:rFonts w:ascii="Tahoma" w:hAnsi="Tahoma" w:cs="Tahoma"/>
          <w:sz w:val="24"/>
          <w:szCs w:val="24"/>
        </w:rPr>
        <w:t>Kutska</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6F316A">
        <w:rPr>
          <w:rFonts w:ascii="Tahoma" w:hAnsi="Tahoma" w:cs="Tahoma"/>
          <w:sz w:val="24"/>
          <w:szCs w:val="24"/>
        </w:rPr>
        <w:t>Small Hydro Power plant Kutska</w:t>
      </w:r>
      <w:r w:rsidR="00F27B7C" w:rsidRPr="00F27B7C">
        <w:rPr>
          <w:rFonts w:ascii="Tahoma" w:hAnsi="Tahoma" w:cs="Tahoma"/>
          <w:sz w:val="24"/>
          <w:szCs w:val="24"/>
        </w:rPr>
        <w:t xml:space="preserve">“ doo </w:t>
      </w:r>
      <w:r w:rsidR="006F316A">
        <w:rPr>
          <w:rFonts w:ascii="Tahoma" w:hAnsi="Tahoma" w:cs="Tahoma"/>
          <w:sz w:val="24"/>
          <w:szCs w:val="24"/>
        </w:rPr>
        <w:t>Andrijevica</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5A5E62">
        <w:rPr>
          <w:rFonts w:ascii="Tahoma" w:hAnsi="Tahoma" w:cs="Tahoma"/>
          <w:sz w:val="24"/>
          <w:szCs w:val="24"/>
          <w:lang w:val="sr-Latn-CS"/>
        </w:rPr>
        <w:t>12</w:t>
      </w:r>
      <w:r w:rsidR="00DE241C">
        <w:rPr>
          <w:rFonts w:ascii="Tahoma" w:hAnsi="Tahoma" w:cs="Tahoma"/>
          <w:sz w:val="24"/>
          <w:szCs w:val="24"/>
          <w:lang w:val="sr-Latn-CS"/>
        </w:rPr>
        <w:t>.</w:t>
      </w:r>
      <w:r w:rsidR="005A5E62">
        <w:rPr>
          <w:rFonts w:ascii="Tahoma" w:hAnsi="Tahoma" w:cs="Tahoma"/>
          <w:sz w:val="24"/>
          <w:szCs w:val="24"/>
          <w:lang w:val="sr-Latn-CS"/>
        </w:rPr>
        <w:t>maja</w:t>
      </w:r>
      <w:r w:rsidR="00AC5771">
        <w:rPr>
          <w:rFonts w:ascii="Tahoma" w:hAnsi="Tahoma" w:cs="Tahoma"/>
          <w:sz w:val="24"/>
          <w:szCs w:val="24"/>
          <w:lang w:val="sr-Latn-CS"/>
        </w:rPr>
        <w:t xml:space="preserve"> 2014.</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AC5771">
        <w:rPr>
          <w:rFonts w:ascii="Tahoma" w:hAnsi="Tahoma" w:cs="Tahoma"/>
          <w:sz w:val="24"/>
          <w:szCs w:val="24"/>
          <w:lang w:val="sr-Latn-CS"/>
        </w:rPr>
        <w:t>u malih</w:t>
      </w:r>
      <w:r w:rsidR="00AF5378">
        <w:rPr>
          <w:rFonts w:ascii="Tahoma" w:hAnsi="Tahoma" w:cs="Tahoma"/>
          <w:sz w:val="24"/>
          <w:szCs w:val="24"/>
          <w:lang w:val="sr-Latn-CS"/>
        </w:rPr>
        <w:t xml:space="preserve"> hi</w:t>
      </w:r>
      <w:r w:rsidR="00AC5771">
        <w:rPr>
          <w:rFonts w:ascii="Tahoma" w:hAnsi="Tahoma" w:cs="Tahoma"/>
          <w:sz w:val="24"/>
          <w:szCs w:val="24"/>
          <w:lang w:val="sr-Latn-CS"/>
        </w:rPr>
        <w:t>droelektrana</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vodotoku </w:t>
      </w:r>
      <w:r w:rsidR="002943A6">
        <w:rPr>
          <w:rFonts w:ascii="Tahoma" w:hAnsi="Tahoma" w:cs="Tahoma"/>
          <w:sz w:val="24"/>
          <w:szCs w:val="24"/>
          <w:lang w:val="sr-Latn-CS"/>
        </w:rPr>
        <w:t>Kutska</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w:t>
      </w:r>
      <w:r w:rsidR="00AE4A2C" w:rsidRPr="00AE4A2C">
        <w:rPr>
          <w:rFonts w:ascii="Tahoma" w:hAnsi="Tahoma" w:cs="Tahoma"/>
          <w:sz w:val="24"/>
          <w:szCs w:val="24"/>
          <w:lang w:val="sr-Latn-CS"/>
        </w:rPr>
        <w:lastRenderedPageBreak/>
        <w:t xml:space="preserve">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AC5771">
        <w:rPr>
          <w:rFonts w:ascii="Tahoma" w:hAnsi="Tahoma" w:cs="Tahoma"/>
          <w:sz w:val="24"/>
          <w:szCs w:val="24"/>
          <w:lang w:val="sr-Latn-CS"/>
        </w:rPr>
        <w:t>malih hidroelektrana</w:t>
      </w:r>
      <w:r w:rsidR="00FA3C3C" w:rsidRPr="00FA3C3C">
        <w:rPr>
          <w:rFonts w:ascii="Tahoma" w:hAnsi="Tahoma" w:cs="Tahoma"/>
          <w:sz w:val="24"/>
          <w:szCs w:val="24"/>
          <w:lang w:val="sr-Latn-CS"/>
        </w:rPr>
        <w:t xml:space="preserve"> na vodotoku </w:t>
      </w:r>
      <w:r w:rsidR="00DE57D6">
        <w:rPr>
          <w:rFonts w:ascii="Tahoma" w:hAnsi="Tahoma" w:cs="Tahoma"/>
          <w:sz w:val="24"/>
          <w:szCs w:val="24"/>
          <w:lang w:val="sr-Latn-CS"/>
        </w:rPr>
        <w:t>Kutska</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E03DD9">
        <w:rPr>
          <w:rFonts w:ascii="Tahoma" w:hAnsi="Tahoma" w:cs="Tahoma"/>
          <w:sz w:val="24"/>
          <w:szCs w:val="24"/>
          <w:lang w:val="sr-Latn-CS"/>
        </w:rPr>
        <w:t>4</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E03DD9" w:rsidRPr="00E03DD9">
        <w:rPr>
          <w:rFonts w:ascii="Tahoma" w:hAnsi="Tahoma" w:cs="Tahoma"/>
          <w:sz w:val="24"/>
          <w:szCs w:val="24"/>
          <w:lang w:val="sr-Latn-CS"/>
        </w:rPr>
        <w:t>važeće bankarske garancije koje je firma "Small Hydro Power plant Kutska" doo Andrijevica dostavila u vezi ugovora o koncesiji za izgradnju malih hidroelektrana na vodotoku Kutska rijeka od 12. aprila 2014. godine do 25.06.2015.godine, u roku od pet dana od dana kada je podnosilac zahtjeva dostavio dokaz o uplati troškova postupka Ministarstvu ekonomije</w:t>
      </w:r>
      <w:r w:rsidR="00D3654A">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622F73">
        <w:rPr>
          <w:rFonts w:ascii="Tahoma" w:hAnsi="Tahoma" w:cs="Tahoma"/>
          <w:sz w:val="24"/>
          <w:szCs w:val="24"/>
        </w:rPr>
        <w:t>2</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3B2983">
        <w:rPr>
          <w:rFonts w:ascii="Tahoma" w:hAnsi="Tahoma" w:cs="Tahoma"/>
          <w:sz w:val="24"/>
          <w:szCs w:val="24"/>
        </w:rPr>
        <w:t>1</w:t>
      </w:r>
      <w:r>
        <w:rPr>
          <w:rFonts w:ascii="Tahoma" w:hAnsi="Tahoma" w:cs="Tahoma"/>
          <w:sz w:val="24"/>
          <w:szCs w:val="24"/>
        </w:rPr>
        <w:t>0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w:t>
      </w:r>
      <w:r w:rsidR="00B64BDB">
        <w:rPr>
          <w:rFonts w:ascii="Tahoma" w:hAnsi="Tahoma" w:cs="Tahoma"/>
          <w:sz w:val="24"/>
          <w:szCs w:val="24"/>
        </w:rPr>
        <w:lastRenderedPageBreak/>
        <w:t xml:space="preserve">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133469" w:rsidRPr="00133469">
        <w:rPr>
          <w:rFonts w:ascii="Tahoma" w:hAnsi="Tahoma" w:cs="Tahoma"/>
          <w:sz w:val="24"/>
          <w:szCs w:val="24"/>
          <w:lang w:val="sr-Latn-CS"/>
        </w:rPr>
        <w:t>br. 15/78644 od 08.09.2015.godine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A7D" w:rsidRDefault="00804A7D" w:rsidP="004C7646">
      <w:pPr>
        <w:spacing w:after="0" w:line="240" w:lineRule="auto"/>
      </w:pPr>
      <w:r>
        <w:separator/>
      </w:r>
    </w:p>
  </w:endnote>
  <w:endnote w:type="continuationSeparator" w:id="0">
    <w:p w:rsidR="00804A7D" w:rsidRDefault="00804A7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04A7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A7D" w:rsidP="00EA2993">
    <w:pPr>
      <w:pStyle w:val="Footer"/>
      <w:rPr>
        <w:b/>
        <w:sz w:val="16"/>
        <w:szCs w:val="16"/>
      </w:rPr>
    </w:pPr>
  </w:p>
  <w:p w:rsidR="0090753B" w:rsidRPr="00E62A90" w:rsidRDefault="00804A7D" w:rsidP="00E62A90">
    <w:pPr>
      <w:pStyle w:val="Footer"/>
      <w:shd w:val="clear" w:color="auto" w:fill="FF0000"/>
      <w:jc w:val="center"/>
      <w:rPr>
        <w:b/>
        <w:color w:val="FF0000"/>
        <w:sz w:val="2"/>
        <w:szCs w:val="2"/>
      </w:rPr>
    </w:pPr>
  </w:p>
  <w:p w:rsidR="0090753B" w:rsidRDefault="00804A7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04A7D" w:rsidP="00E03674">
    <w:pPr>
      <w:pStyle w:val="Footer"/>
      <w:jc w:val="center"/>
      <w:rPr>
        <w:sz w:val="16"/>
        <w:szCs w:val="16"/>
      </w:rPr>
    </w:pPr>
  </w:p>
  <w:p w:rsidR="0090753B" w:rsidRPr="002B6C39" w:rsidRDefault="00804A7D">
    <w:pPr>
      <w:pStyle w:val="Footer"/>
    </w:pPr>
  </w:p>
  <w:p w:rsidR="0090753B" w:rsidRDefault="00804A7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A7D" w:rsidRDefault="00804A7D" w:rsidP="004C7646">
      <w:pPr>
        <w:spacing w:after="0" w:line="240" w:lineRule="auto"/>
      </w:pPr>
      <w:r>
        <w:separator/>
      </w:r>
    </w:p>
  </w:footnote>
  <w:footnote w:type="continuationSeparator" w:id="0">
    <w:p w:rsidR="00804A7D" w:rsidRDefault="00804A7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A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A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1C3F"/>
    <w:rsid w:val="00117F76"/>
    <w:rsid w:val="001206F3"/>
    <w:rsid w:val="00120C6D"/>
    <w:rsid w:val="001221AE"/>
    <w:rsid w:val="00126117"/>
    <w:rsid w:val="00126D93"/>
    <w:rsid w:val="00132FFA"/>
    <w:rsid w:val="00133469"/>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499E"/>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43A6"/>
    <w:rsid w:val="00295217"/>
    <w:rsid w:val="002A1A4B"/>
    <w:rsid w:val="002A3442"/>
    <w:rsid w:val="002A648C"/>
    <w:rsid w:val="002A6DB1"/>
    <w:rsid w:val="002A7A54"/>
    <w:rsid w:val="002B04DA"/>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5DC3"/>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3CE6"/>
    <w:rsid w:val="004C7646"/>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A0718"/>
    <w:rsid w:val="005A211C"/>
    <w:rsid w:val="005A26F1"/>
    <w:rsid w:val="005A3CC4"/>
    <w:rsid w:val="005A4B03"/>
    <w:rsid w:val="005A4D26"/>
    <w:rsid w:val="005A5E62"/>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5E94"/>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316A"/>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4A7D"/>
    <w:rsid w:val="00807AE6"/>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02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8D8"/>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E70E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69A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77563"/>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31F7"/>
    <w:rsid w:val="00B04987"/>
    <w:rsid w:val="00B053D0"/>
    <w:rsid w:val="00B07A3E"/>
    <w:rsid w:val="00B07BBA"/>
    <w:rsid w:val="00B11ACA"/>
    <w:rsid w:val="00B1224F"/>
    <w:rsid w:val="00B131D6"/>
    <w:rsid w:val="00B13717"/>
    <w:rsid w:val="00B13D51"/>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4A01"/>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19BF"/>
    <w:rsid w:val="00C129B7"/>
    <w:rsid w:val="00C13461"/>
    <w:rsid w:val="00C13F8D"/>
    <w:rsid w:val="00C141F3"/>
    <w:rsid w:val="00C14DCA"/>
    <w:rsid w:val="00C1574B"/>
    <w:rsid w:val="00C168C8"/>
    <w:rsid w:val="00C205B2"/>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1B5A"/>
    <w:rsid w:val="00CE22D2"/>
    <w:rsid w:val="00CE3EBF"/>
    <w:rsid w:val="00CE4192"/>
    <w:rsid w:val="00CE73B7"/>
    <w:rsid w:val="00CF1554"/>
    <w:rsid w:val="00CF1B8B"/>
    <w:rsid w:val="00CF218F"/>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57D6"/>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3DD9"/>
    <w:rsid w:val="00E06020"/>
    <w:rsid w:val="00E06703"/>
    <w:rsid w:val="00E07051"/>
    <w:rsid w:val="00E073F0"/>
    <w:rsid w:val="00E116A2"/>
    <w:rsid w:val="00E11EB2"/>
    <w:rsid w:val="00E13EBE"/>
    <w:rsid w:val="00E14B09"/>
    <w:rsid w:val="00E15B5D"/>
    <w:rsid w:val="00E21A33"/>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0F4D"/>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2ABC"/>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3AF"/>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2F90"/>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D8161-44EC-458D-B511-A21F7EE92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3701</Words>
  <Characters>21097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208</cp:revision>
  <cp:lastPrinted>2016-11-04T09:55:00Z</cp:lastPrinted>
  <dcterms:created xsi:type="dcterms:W3CDTF">2016-10-20T13:47:00Z</dcterms:created>
  <dcterms:modified xsi:type="dcterms:W3CDTF">2017-12-07T12:00:00Z</dcterms:modified>
</cp:coreProperties>
</file>