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7D3729">
        <w:rPr>
          <w:rFonts w:ascii="Tahoma" w:hAnsi="Tahoma" w:cs="Tahoma"/>
          <w:b/>
          <w:sz w:val="24"/>
          <w:szCs w:val="24"/>
        </w:rPr>
        <w:t>811</w:t>
      </w:r>
      <w:r w:rsidR="0050708C">
        <w:rPr>
          <w:rFonts w:ascii="Tahoma" w:hAnsi="Tahoma" w:cs="Tahoma"/>
          <w:b/>
          <w:sz w:val="24"/>
          <w:szCs w:val="24"/>
        </w:rPr>
        <w:t>-2/1</w:t>
      </w:r>
      <w:r w:rsidR="00C272D0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D5D52">
        <w:rPr>
          <w:rFonts w:ascii="Tahoma" w:hAnsi="Tahoma" w:cs="Tahoma"/>
          <w:b/>
          <w:sz w:val="24"/>
          <w:szCs w:val="24"/>
        </w:rPr>
        <w:t>09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5433F">
        <w:rPr>
          <w:rFonts w:ascii="Tahoma" w:hAnsi="Tahoma" w:cs="Tahoma"/>
          <w:b/>
          <w:sz w:val="24"/>
          <w:szCs w:val="24"/>
        </w:rPr>
        <w:t>0</w:t>
      </w:r>
      <w:r w:rsidR="00AD5D52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72D0">
        <w:rPr>
          <w:rFonts w:ascii="Tahoma" w:hAnsi="Tahoma" w:cs="Tahoma"/>
          <w:sz w:val="24"/>
          <w:szCs w:val="24"/>
          <w:lang w:val="sr-Latn-CS"/>
        </w:rPr>
        <w:t>17/</w:t>
      </w:r>
      <w:r w:rsidR="007D3729">
        <w:rPr>
          <w:rFonts w:ascii="Tahoma" w:hAnsi="Tahoma" w:cs="Tahoma"/>
          <w:sz w:val="24"/>
          <w:szCs w:val="24"/>
          <w:lang w:val="sr-Latn-CS"/>
        </w:rPr>
        <w:t>107127 od 20.01.2017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72D0">
        <w:rPr>
          <w:rFonts w:ascii="Tahoma" w:hAnsi="Tahoma" w:cs="Tahoma"/>
          <w:sz w:val="24"/>
          <w:szCs w:val="24"/>
          <w:lang w:val="sr-Latn-CS"/>
        </w:rPr>
        <w:t>Privredne komore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</w:t>
      </w:r>
      <w:r w:rsidR="0085628C">
        <w:rPr>
          <w:rFonts w:ascii="Tahoma" w:hAnsi="Tahoma" w:cs="Tahoma"/>
          <w:sz w:val="24"/>
          <w:szCs w:val="24"/>
          <w:lang w:val="sr-Latn-CS"/>
        </w:rPr>
        <w:t>5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1F281B">
        <w:rPr>
          <w:rFonts w:ascii="Tahoma" w:hAnsi="Tahoma" w:cs="Tahoma"/>
          <w:sz w:val="24"/>
          <w:szCs w:val="24"/>
          <w:lang w:val="sr-Latn-CS"/>
        </w:rPr>
        <w:t>08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F281B">
        <w:rPr>
          <w:rFonts w:ascii="Tahoma" w:hAnsi="Tahoma" w:cs="Tahoma"/>
          <w:sz w:val="24"/>
          <w:szCs w:val="24"/>
          <w:lang w:val="sr-Latn-CS"/>
        </w:rPr>
        <w:t>03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50708C" w:rsidRPr="00BF314B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F777AF" w:rsidRDefault="009845A6" w:rsidP="00F777AF">
      <w:pPr>
        <w:pStyle w:val="NoSpacing"/>
        <w:jc w:val="both"/>
        <w:rPr>
          <w:rFonts w:ascii="Tahoma" w:hAnsi="Tahoma" w:cs="Tahoma"/>
          <w:sz w:val="24"/>
          <w:szCs w:val="24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72D0">
        <w:rPr>
          <w:rFonts w:ascii="Tahoma" w:hAnsi="Tahoma" w:cs="Tahoma"/>
          <w:sz w:val="24"/>
          <w:szCs w:val="24"/>
          <w:lang w:val="sr-Latn-CS"/>
        </w:rPr>
        <w:t>Privredne komore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15. 12. 2016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12260A">
        <w:rPr>
          <w:rFonts w:ascii="Tahoma" w:hAnsi="Tahoma" w:cs="Tahoma"/>
          <w:sz w:val="24"/>
          <w:szCs w:val="24"/>
          <w:lang w:val="sr-Latn-CS"/>
        </w:rPr>
        <w:t xml:space="preserve">Akata koja sadrže informacije o </w:t>
      </w:r>
      <w:r w:rsidR="0075388F">
        <w:rPr>
          <w:rFonts w:ascii="Tahoma" w:hAnsi="Tahoma" w:cs="Tahoma"/>
          <w:sz w:val="24"/>
          <w:szCs w:val="24"/>
          <w:lang w:val="sr-Latn-CS"/>
        </w:rPr>
        <w:t>svim uspostavljenim saradnjama sa drugim arbitražnim institucijama</w:t>
      </w:r>
      <w:r w:rsidR="0012260A">
        <w:rPr>
          <w:rFonts w:ascii="Tahoma" w:hAnsi="Tahoma" w:cs="Tahoma"/>
          <w:sz w:val="24"/>
          <w:szCs w:val="24"/>
          <w:lang w:val="sr-Latn-CS"/>
        </w:rPr>
        <w:t xml:space="preserve"> u periodu od 01.</w:t>
      </w:r>
      <w:r w:rsidR="007D3729">
        <w:rPr>
          <w:rFonts w:ascii="Tahoma" w:hAnsi="Tahoma" w:cs="Tahoma"/>
          <w:sz w:val="24"/>
          <w:szCs w:val="24"/>
          <w:lang w:val="sr-Latn-CS"/>
        </w:rPr>
        <w:t>11</w:t>
      </w:r>
      <w:r w:rsidR="0012260A">
        <w:rPr>
          <w:rFonts w:ascii="Tahoma" w:hAnsi="Tahoma" w:cs="Tahoma"/>
          <w:sz w:val="24"/>
          <w:szCs w:val="24"/>
          <w:lang w:val="sr-Latn-CS"/>
        </w:rPr>
        <w:t>.2016. do 31.</w:t>
      </w:r>
      <w:r w:rsidR="007D3729">
        <w:rPr>
          <w:rFonts w:ascii="Tahoma" w:hAnsi="Tahoma" w:cs="Tahoma"/>
          <w:sz w:val="24"/>
          <w:szCs w:val="24"/>
          <w:lang w:val="sr-Latn-CS"/>
        </w:rPr>
        <w:t>12</w:t>
      </w:r>
      <w:r w:rsidR="0012260A">
        <w:rPr>
          <w:rFonts w:ascii="Tahoma" w:hAnsi="Tahoma" w:cs="Tahoma"/>
          <w:sz w:val="24"/>
          <w:szCs w:val="24"/>
          <w:lang w:val="sr-Latn-CS"/>
        </w:rPr>
        <w:t>.2016. godine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(veza sa mjerom broj: 1.4.2.7.3.2. Akcionog plana za poglavlje 23.)</w:t>
      </w:r>
    </w:p>
    <w:p w:rsidR="00F777AF" w:rsidRPr="00F777AF" w:rsidRDefault="00F777AF" w:rsidP="00F777AF">
      <w:pPr>
        <w:pStyle w:val="NoSpacing"/>
        <w:jc w:val="both"/>
        <w:rPr>
          <w:rFonts w:ascii="Tahoma" w:hAnsi="Tahoma" w:cs="Tahoma"/>
          <w:sz w:val="24"/>
          <w:szCs w:val="24"/>
        </w:rPr>
      </w:pP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B242CE" w:rsidRDefault="00B5433F" w:rsidP="00272A97">
      <w:pPr>
        <w:jc w:val="both"/>
        <w:rPr>
          <w:rFonts w:ascii="Tahoma" w:hAnsi="Tahoma" w:cs="Tahoma"/>
          <w:sz w:val="24"/>
          <w:szCs w:val="24"/>
        </w:rPr>
      </w:pPr>
      <w:r w:rsidRPr="00272A97">
        <w:rPr>
          <w:rFonts w:ascii="Tahoma" w:hAnsi="Tahoma" w:cs="Tahoma"/>
          <w:sz w:val="24"/>
          <w:szCs w:val="24"/>
          <w:lang w:val="sr-Latn-CS"/>
        </w:rPr>
        <w:t xml:space="preserve">Član </w:t>
      </w:r>
      <w:r w:rsidR="00272A97" w:rsidRPr="00272A97">
        <w:rPr>
          <w:rFonts w:ascii="Tahoma" w:hAnsi="Tahoma" w:cs="Tahoma"/>
          <w:sz w:val="24"/>
          <w:szCs w:val="24"/>
          <w:lang w:val="sr-Latn-CS"/>
        </w:rPr>
        <w:t>9</w:t>
      </w:r>
      <w:r w:rsidRPr="00272A97">
        <w:rPr>
          <w:rFonts w:ascii="Tahoma" w:hAnsi="Tahoma" w:cs="Tahoma"/>
          <w:sz w:val="24"/>
          <w:szCs w:val="24"/>
          <w:lang w:val="sr-Latn-CS"/>
        </w:rPr>
        <w:t xml:space="preserve"> Zakona o slobodnom pristupu informacijama propisuje </w:t>
      </w:r>
      <w:r w:rsidR="00272A97" w:rsidRPr="00272A97">
        <w:rPr>
          <w:rFonts w:ascii="Tahoma" w:hAnsi="Tahoma" w:cs="Tahoma"/>
          <w:sz w:val="24"/>
          <w:szCs w:val="24"/>
          <w:lang w:val="sr-Latn-CS"/>
        </w:rPr>
        <w:t>da p</w:t>
      </w:r>
      <w:r w:rsidR="00272A97" w:rsidRPr="00272A97">
        <w:rPr>
          <w:rFonts w:ascii="Tahoma" w:hAnsi="Tahoma" w:cs="Tahoma"/>
          <w:sz w:val="24"/>
          <w:szCs w:val="24"/>
        </w:rPr>
        <w:t>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</w:t>
      </w:r>
      <w:r w:rsidR="00B242CE">
        <w:rPr>
          <w:rFonts w:ascii="Tahoma" w:hAnsi="Tahoma" w:cs="Tahoma"/>
          <w:sz w:val="24"/>
          <w:szCs w:val="24"/>
        </w:rPr>
        <w:t>nje ili upravlja javnim fondom.</w:t>
      </w:r>
    </w:p>
    <w:p w:rsidR="00F777AF" w:rsidRDefault="00F777AF" w:rsidP="00272A97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>Agencija za zaštitu ličnih podataka i slobodan pristup informacijama</w:t>
      </w:r>
      <w:r w:rsidR="00FA14A6">
        <w:rPr>
          <w:rFonts w:ascii="Tahoma" w:hAnsi="Tahoma" w:cs="Tahoma"/>
          <w:sz w:val="24"/>
          <w:szCs w:val="24"/>
          <w:lang w:val="sr-Latn-CS"/>
        </w:rPr>
        <w:t xml:space="preserve"> je</w:t>
      </w:r>
      <w:r>
        <w:rPr>
          <w:rFonts w:ascii="Tahoma" w:hAnsi="Tahoma" w:cs="Tahoma"/>
          <w:sz w:val="24"/>
          <w:szCs w:val="24"/>
          <w:lang w:val="sr-Latn-CS"/>
        </w:rPr>
        <w:t xml:space="preserve"> dana </w:t>
      </w:r>
      <w:r w:rsidR="008466EA">
        <w:rPr>
          <w:rFonts w:ascii="Tahoma" w:hAnsi="Tahoma" w:cs="Tahoma"/>
          <w:sz w:val="24"/>
          <w:szCs w:val="24"/>
          <w:lang w:val="sr-Latn-CS"/>
        </w:rPr>
        <w:t>23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466EA">
        <w:rPr>
          <w:rFonts w:ascii="Tahoma" w:hAnsi="Tahoma" w:cs="Tahoma"/>
          <w:sz w:val="24"/>
          <w:szCs w:val="24"/>
          <w:lang w:val="sr-Latn-CS"/>
        </w:rPr>
        <w:t>02</w:t>
      </w:r>
      <w:r>
        <w:rPr>
          <w:rFonts w:ascii="Tahoma" w:hAnsi="Tahoma" w:cs="Tahoma"/>
          <w:sz w:val="24"/>
          <w:szCs w:val="24"/>
          <w:lang w:val="sr-Latn-CS"/>
        </w:rPr>
        <w:t>.201</w:t>
      </w:r>
      <w:r w:rsidR="008466EA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člana 40 stav 1 tačka 1 Zakona o slobodnom pristupu informacijama podnijela prvostepenom organu zahtjev za dostavljanje Izjašnjenja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>
        <w:rPr>
          <w:rFonts w:ascii="Tahoma" w:hAnsi="Tahoma" w:cs="Tahoma"/>
          <w:sz w:val="24"/>
          <w:szCs w:val="24"/>
          <w:lang w:val="sr-Latn-CS"/>
        </w:rPr>
        <w:t>07-42-</w:t>
      </w:r>
      <w:r w:rsidR="008466EA">
        <w:rPr>
          <w:rFonts w:ascii="Tahoma" w:hAnsi="Tahoma" w:cs="Tahoma"/>
          <w:sz w:val="24"/>
          <w:szCs w:val="24"/>
          <w:lang w:val="sr-Latn-CS"/>
        </w:rPr>
        <w:t>33</w:t>
      </w:r>
      <w:r w:rsidR="0012260A">
        <w:rPr>
          <w:rFonts w:ascii="Tahoma" w:hAnsi="Tahoma" w:cs="Tahoma"/>
          <w:sz w:val="24"/>
          <w:szCs w:val="24"/>
          <w:lang w:val="sr-Latn-CS"/>
        </w:rPr>
        <w:t>0</w:t>
      </w:r>
      <w:r w:rsidR="007D3729">
        <w:rPr>
          <w:rFonts w:ascii="Tahoma" w:hAnsi="Tahoma" w:cs="Tahoma"/>
          <w:sz w:val="24"/>
          <w:szCs w:val="24"/>
          <w:lang w:val="sr-Latn-CS"/>
        </w:rPr>
        <w:t>7</w:t>
      </w:r>
      <w:r>
        <w:rPr>
          <w:rFonts w:ascii="Tahoma" w:hAnsi="Tahoma" w:cs="Tahoma"/>
          <w:sz w:val="24"/>
          <w:szCs w:val="24"/>
          <w:lang w:val="sr-Latn-CS"/>
        </w:rPr>
        <w:t>-1/1</w:t>
      </w:r>
      <w:r w:rsidR="008466EA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466EA" w:rsidRPr="008466EA">
        <w:rPr>
          <w:rFonts w:ascii="Tahoma" w:hAnsi="Tahoma" w:cs="Tahoma"/>
          <w:sz w:val="24"/>
          <w:szCs w:val="24"/>
          <w:lang w:val="sr-Latn-CS"/>
        </w:rPr>
        <w:t>23.02.2017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dostavljanje izjašnjenja, uz navođenja razloga zbog čega prvostepeni organ nije u roku donio rješenje, odnosno akt, po podnijetom zahtjevu za slobodan pristup informacijama.</w:t>
      </w:r>
    </w:p>
    <w:p w:rsidR="007505AB" w:rsidRDefault="00CB0651" w:rsidP="00272A97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Privredna komora Crne Gore je d</w:t>
      </w:r>
      <w:r w:rsidR="007505AB">
        <w:rPr>
          <w:rFonts w:ascii="Tahoma" w:hAnsi="Tahoma" w:cs="Tahoma"/>
          <w:sz w:val="24"/>
          <w:szCs w:val="24"/>
          <w:lang w:val="sr-Latn-CS"/>
        </w:rPr>
        <w:t xml:space="preserve">ana 06.03.2017. godine </w:t>
      </w:r>
      <w:r>
        <w:rPr>
          <w:rFonts w:ascii="Tahoma" w:hAnsi="Tahoma" w:cs="Tahoma"/>
          <w:sz w:val="24"/>
          <w:szCs w:val="24"/>
          <w:lang w:val="sr-Latn-CS"/>
        </w:rPr>
        <w:t xml:space="preserve">Savjetu </w:t>
      </w:r>
      <w:r w:rsidR="007505AB">
        <w:rPr>
          <w:rFonts w:ascii="Tahoma" w:hAnsi="Tahoma" w:cs="Tahoma"/>
          <w:sz w:val="24"/>
          <w:szCs w:val="24"/>
          <w:lang w:val="sr-Latn-CS"/>
        </w:rPr>
        <w:t>Agenciji dostavila Izjašnjenje br.</w:t>
      </w:r>
      <w:r>
        <w:rPr>
          <w:rFonts w:ascii="Tahoma" w:hAnsi="Tahoma" w:cs="Tahoma"/>
          <w:sz w:val="24"/>
          <w:szCs w:val="24"/>
          <w:lang w:val="sr-Latn-CS"/>
        </w:rPr>
        <w:t xml:space="preserve"> 060-320/</w:t>
      </w:r>
      <w:r w:rsidR="007D3729">
        <w:rPr>
          <w:rFonts w:ascii="Tahoma" w:hAnsi="Tahoma" w:cs="Tahoma"/>
          <w:sz w:val="24"/>
          <w:szCs w:val="24"/>
          <w:lang w:val="sr-Latn-CS"/>
        </w:rPr>
        <w:t>1</w:t>
      </w:r>
      <w:r w:rsidR="007505AB">
        <w:rPr>
          <w:rFonts w:ascii="Tahoma" w:hAnsi="Tahoma" w:cs="Tahoma"/>
          <w:sz w:val="24"/>
          <w:szCs w:val="24"/>
          <w:lang w:val="sr-Latn-CS"/>
        </w:rPr>
        <w:t xml:space="preserve"> u kojem se navodi sledeće: Odredbom člana 2 Zakona o Privrednoj komori Crne Gore („Sl.list CG“ .br. 42/98), propisano je da je Komora samostalna, poslovna, stručna i interesna organizacija, dok je članom 56 Statuta Privredne  komore („Sl.list CG“ .br. 17/15), propisano da se sredstva za rad Komore obezbeđuju od članskog doprinosa koji plaćaju članice Komore, prihoda od naknada za usluge koje Komora vrši u okviru svoje djelatnosti i drugih izvora. Dalje se navodi da imajući u vidu</w:t>
      </w:r>
      <w:r w:rsidR="00730267">
        <w:rPr>
          <w:rFonts w:ascii="Tahoma" w:hAnsi="Tahoma" w:cs="Tahoma"/>
          <w:sz w:val="24"/>
          <w:szCs w:val="24"/>
          <w:lang w:val="sr-Latn-CS"/>
        </w:rPr>
        <w:t xml:space="preserve"> citirane zakonske propise i činjenicu da se Privredna komora Crne Gore ne finansira iz javnih prihoda, niti se radi o organu vlasti, znači da ista nije obveznik primjene Zakona o slobodnom pristupu informacijama. </w:t>
      </w:r>
      <w:r w:rsidR="004B4279">
        <w:rPr>
          <w:rFonts w:ascii="Tahoma" w:hAnsi="Tahoma" w:cs="Tahoma"/>
          <w:sz w:val="24"/>
          <w:szCs w:val="24"/>
          <w:lang w:val="sr-Latn-CS"/>
        </w:rPr>
        <w:t>U daljem se bitno navodi</w:t>
      </w:r>
      <w:r w:rsidR="00730267">
        <w:rPr>
          <w:rFonts w:ascii="Tahoma" w:hAnsi="Tahoma" w:cs="Tahoma"/>
          <w:sz w:val="24"/>
          <w:szCs w:val="24"/>
          <w:lang w:val="sr-Latn-CS"/>
        </w:rPr>
        <w:t xml:space="preserve"> da Privredna komora Crne Gore nema obavezu donošenja rješenja po zahtjevu za dostavljanje informacija potvrdio Upravni sud Crne Gore presudom broj 1331/15 od 26.01.2016. godine kojom je poništeno rješenje Agencije za zaštitu ličnih podataka i slobodan pristup informacijama, broj UP II 986/15-1 od 29.04.2015. godine</w:t>
      </w:r>
      <w:r w:rsidR="00AD3669" w:rsidRPr="00AD3669">
        <w:t xml:space="preserve"> </w:t>
      </w:r>
      <w:r w:rsidR="00AD3669" w:rsidRPr="00AD3669">
        <w:rPr>
          <w:rFonts w:ascii="Tahoma" w:hAnsi="Tahoma" w:cs="Tahoma"/>
          <w:sz w:val="24"/>
          <w:szCs w:val="24"/>
          <w:lang w:val="sr-Latn-CS"/>
        </w:rPr>
        <w:t xml:space="preserve">na navode predmetne presude Upravnog suda Crne Gore upućujemo podnosioca žalbe: „Odredbom člana 1 Zakona o slobodnom pristupu informacijama („Sl.list CG“,br.44/12), propisano je da se pravo na pristup informacijama u posjedu organa vlasti ostvaruje na način i po postupku propisanim Zakonom, a u članu 9 stav 1 tačka 1 pod izrazom organ vlasti podrazumijeva se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 preduzetnik ili pravno lice koje vrši javno ovlašćenje ili upravlja javnim fondom.Odredbom člana 2 Zakona o Privrednoj komori Crne Gore („Sl.list R CG“,br.42/98), propisano je da je Komora samostalna, poslovna, stručna i interesna orgnizacija, dok je članom 56 Statuta Privredne komore Crne Gore („Sl.list CG“,br.17/15), propisano da se sredstva za rad Komore obezbjedjuju od članskog doprinosa koji plaćaju članice Komore, prihoda dobijenih po osnovu vršenja javnih ovlašćenja, prihoda od naknada za usluge koje Komora vrši u okviru svoje djelatnosti i drugih izvora.U konkretnom slučaju usvojena je žalba NVO MANS-a, i naloženo tužiocu da donese rješenje po njihovom zahtjevu za slobodan pristup informaciji, pa imajući u vidu citirane zakonske propise, da tužilac ne vrši javna ovlašćenja, niti se </w:t>
      </w:r>
      <w:r w:rsidR="00AD3669" w:rsidRPr="00AD3669">
        <w:rPr>
          <w:rFonts w:ascii="Tahoma" w:hAnsi="Tahoma" w:cs="Tahoma"/>
          <w:sz w:val="24"/>
          <w:szCs w:val="24"/>
          <w:lang w:val="sr-Latn-CS"/>
        </w:rPr>
        <w:lastRenderedPageBreak/>
        <w:t>finansira iz javnih prihoda, da se ne radi o organu vlasti, to se po stanovištu suda ne može istom naložiti donošenje rješenja po zahtjevu u skladu sa Zakonom o slobodnom pristupu informacijama. „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br.17/</w:t>
      </w:r>
      <w:r w:rsidR="007D3729">
        <w:rPr>
          <w:rFonts w:ascii="Tahoma" w:hAnsi="Tahoma" w:cs="Tahoma"/>
          <w:sz w:val="24"/>
          <w:szCs w:val="24"/>
          <w:lang w:val="sr-Latn-CS"/>
        </w:rPr>
        <w:t>107127 od 20.01.2017</w:t>
      </w:r>
      <w:r>
        <w:rPr>
          <w:rFonts w:ascii="Tahoma" w:hAnsi="Tahoma" w:cs="Tahoma"/>
          <w:sz w:val="24"/>
          <w:szCs w:val="24"/>
          <w:lang w:val="sr-Latn-CS"/>
        </w:rPr>
        <w:t>.g</w:t>
      </w:r>
      <w:r w:rsidR="003661D4">
        <w:rPr>
          <w:rFonts w:ascii="Tahoma" w:hAnsi="Tahoma" w:cs="Tahoma"/>
          <w:sz w:val="24"/>
          <w:szCs w:val="24"/>
          <w:lang w:val="sr-Latn-CS"/>
        </w:rPr>
        <w:t>odine, uvidom u spise predmeta</w:t>
      </w:r>
      <w:r>
        <w:rPr>
          <w:rFonts w:ascii="Tahoma" w:hAnsi="Tahoma" w:cs="Tahoma"/>
          <w:sz w:val="24"/>
          <w:szCs w:val="24"/>
          <w:lang w:val="sr-Latn-CS"/>
        </w:rPr>
        <w:t>, utvrdio da Privredna komora nije obveznik Zakona o slobodnom pristupu informacijama, a u smislu člana 9 Zakona, te da iz iznijetog nije u obavezi da postupa po zahtjevima za slobodan pristup informacijama i dostavlja tražene informacije.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B5ECE" w:rsidRDefault="00AB5EC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3816" w:rsidRDefault="00763816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180" w:rsidRDefault="009E5180" w:rsidP="00CB7F9A">
      <w:pPr>
        <w:spacing w:after="0" w:line="240" w:lineRule="auto"/>
      </w:pPr>
      <w:r>
        <w:separator/>
      </w:r>
    </w:p>
  </w:endnote>
  <w:endnote w:type="continuationSeparator" w:id="0">
    <w:p w:rsidR="009E5180" w:rsidRDefault="009E518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180" w:rsidRDefault="009E5180" w:rsidP="00CB7F9A">
      <w:pPr>
        <w:spacing w:after="0" w:line="240" w:lineRule="auto"/>
      </w:pPr>
      <w:r>
        <w:separator/>
      </w:r>
    </w:p>
  </w:footnote>
  <w:footnote w:type="continuationSeparator" w:id="0">
    <w:p w:rsidR="009E5180" w:rsidRDefault="009E518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648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9DE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81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3EA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5A7E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6D7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1D4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279"/>
    <w:rsid w:val="004B543E"/>
    <w:rsid w:val="004B56F5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6F7A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372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628C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5180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669"/>
    <w:rsid w:val="00AD3770"/>
    <w:rsid w:val="00AD4560"/>
    <w:rsid w:val="00AD5D52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2CE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3FE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739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9E3722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9289AE-3CF6-4A8D-A5C0-AE7CAA455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3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71</cp:revision>
  <cp:lastPrinted>2017-05-09T12:17:00Z</cp:lastPrinted>
  <dcterms:created xsi:type="dcterms:W3CDTF">2015-12-16T13:08:00Z</dcterms:created>
  <dcterms:modified xsi:type="dcterms:W3CDTF">2017-12-11T09:35:00Z</dcterms:modified>
</cp:coreProperties>
</file>