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201912">
        <w:rPr>
          <w:rFonts w:ascii="Tahoma" w:hAnsi="Tahoma" w:cs="Tahoma"/>
          <w:b/>
          <w:sz w:val="24"/>
          <w:szCs w:val="24"/>
        </w:rPr>
        <w:t>8</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38132B">
        <w:rPr>
          <w:rFonts w:ascii="Tahoma" w:hAnsi="Tahoma" w:cs="Tahoma"/>
          <w:sz w:val="24"/>
          <w:szCs w:val="24"/>
        </w:rPr>
        <w:t>110132-110134</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w:t>
      </w:r>
      <w:r w:rsidR="0038132B">
        <w:rPr>
          <w:rFonts w:ascii="Tahoma" w:hAnsi="Tahoma" w:cs="Tahoma"/>
          <w:sz w:val="24"/>
          <w:szCs w:val="24"/>
        </w:rPr>
        <w:t>3</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w:t>
      </w:r>
      <w:r w:rsidR="00F4067E" w:rsidRPr="00F4067E">
        <w:rPr>
          <w:rFonts w:ascii="Tahoma" w:hAnsi="Tahoma" w:cs="Tahoma"/>
          <w:sz w:val="24"/>
          <w:szCs w:val="24"/>
        </w:rPr>
        <w:t>br. 10-00-1767</w:t>
      </w:r>
      <w:r w:rsidR="00A102CF">
        <w:rPr>
          <w:rFonts w:ascii="Tahoma" w:hAnsi="Tahoma" w:cs="Tahoma"/>
          <w:sz w:val="24"/>
          <w:szCs w:val="24"/>
        </w:rPr>
        <w:t>3</w:t>
      </w:r>
      <w:r w:rsidR="00F4067E" w:rsidRPr="00F4067E">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DC2927" w:rsidRPr="00DC2927">
        <w:rPr>
          <w:rFonts w:ascii="Tahoma" w:hAnsi="Tahoma" w:cs="Tahoma"/>
          <w:sz w:val="24"/>
          <w:szCs w:val="24"/>
        </w:rPr>
        <w:t>br. 17/110132-110134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w:t>
      </w:r>
      <w:r w:rsidR="00FD3F86">
        <w:rPr>
          <w:rFonts w:ascii="Tahoma" w:hAnsi="Tahoma" w:cs="Tahoma"/>
          <w:sz w:val="24"/>
          <w:szCs w:val="24"/>
        </w:rPr>
        <w:t>3</w:t>
      </w:r>
      <w:r w:rsidR="00F4067E" w:rsidRPr="00F4067E">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2F1FCA">
        <w:rPr>
          <w:rFonts w:ascii="Tahoma" w:hAnsi="Tahoma" w:cs="Tahoma"/>
          <w:sz w:val="24"/>
          <w:szCs w:val="24"/>
        </w:rPr>
        <w:t>110132-110134</w:t>
      </w:r>
      <w:r w:rsidR="00C3041C">
        <w:rPr>
          <w:rFonts w:ascii="Tahoma" w:hAnsi="Tahoma" w:cs="Tahoma"/>
          <w:sz w:val="24"/>
          <w:szCs w:val="24"/>
        </w:rPr>
        <w:t xml:space="preserve">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w:t>
      </w:r>
      <w:r w:rsidR="008D44E2">
        <w:rPr>
          <w:rFonts w:ascii="Tahoma" w:hAnsi="Tahoma" w:cs="Tahoma"/>
          <w:sz w:val="24"/>
          <w:szCs w:val="24"/>
        </w:rPr>
        <w:t>3</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 xml:space="preserve">Izvršnim rukovodiocem Direkcije za </w:t>
      </w:r>
      <w:r w:rsidR="005D3DE8">
        <w:rPr>
          <w:rFonts w:ascii="Tahoma" w:hAnsi="Tahoma" w:cs="Tahoma"/>
          <w:sz w:val="24"/>
          <w:szCs w:val="24"/>
        </w:rPr>
        <w:t>odnose sa javnošću</w:t>
      </w:r>
      <w:r w:rsidR="0007705A">
        <w:rPr>
          <w:rFonts w:ascii="Tahoma" w:hAnsi="Tahoma" w:cs="Tahoma"/>
          <w:sz w:val="24"/>
          <w:szCs w:val="24"/>
        </w:rPr>
        <w:t xml:space="preserve"> </w:t>
      </w:r>
      <w:r w:rsidR="005D3DE8">
        <w:rPr>
          <w:rFonts w:ascii="Tahoma" w:hAnsi="Tahoma" w:cs="Tahoma"/>
          <w:sz w:val="24"/>
          <w:szCs w:val="24"/>
        </w:rPr>
        <w:t>Rajkom Šebekom</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w:t>
      </w:r>
      <w:r w:rsidR="00E96600" w:rsidRPr="00E96600">
        <w:rPr>
          <w:rFonts w:ascii="Tahoma" w:hAnsi="Tahoma" w:cs="Tahoma"/>
          <w:sz w:val="24"/>
          <w:szCs w:val="24"/>
        </w:rPr>
        <w:lastRenderedPageBreak/>
        <w:t xml:space="preserve">liste </w:t>
      </w:r>
      <w:r w:rsidR="009F7AF3">
        <w:rPr>
          <w:rFonts w:ascii="Tahoma" w:hAnsi="Tahoma" w:cs="Tahoma"/>
          <w:sz w:val="24"/>
          <w:szCs w:val="24"/>
        </w:rPr>
        <w:t xml:space="preserve">Izvršnog rukovodioca </w:t>
      </w:r>
      <w:r w:rsidR="00E633A0" w:rsidRPr="00E633A0">
        <w:rPr>
          <w:rFonts w:ascii="Tahoma" w:hAnsi="Tahoma" w:cs="Tahoma"/>
          <w:sz w:val="24"/>
          <w:szCs w:val="24"/>
        </w:rPr>
        <w:t>Direkc</w:t>
      </w:r>
      <w:r w:rsidR="00E633A0">
        <w:rPr>
          <w:rFonts w:ascii="Tahoma" w:hAnsi="Tahoma" w:cs="Tahoma"/>
          <w:sz w:val="24"/>
          <w:szCs w:val="24"/>
        </w:rPr>
        <w:t>ije za odnose sa javnošću Rajka Šebeka</w:t>
      </w:r>
      <w:r w:rsidR="00E633A0" w:rsidRPr="00E633A0">
        <w:rPr>
          <w:rFonts w:ascii="Tahoma" w:hAnsi="Tahoma" w:cs="Tahoma"/>
          <w:sz w:val="24"/>
          <w:szCs w:val="24"/>
        </w:rPr>
        <w:t xml:space="preserve"> </w:t>
      </w:r>
      <w:r w:rsidR="00E96600" w:rsidRPr="00E96600">
        <w:rPr>
          <w:rFonts w:ascii="Tahoma" w:hAnsi="Tahoma" w:cs="Tahoma"/>
          <w:sz w:val="24"/>
          <w:szCs w:val="24"/>
        </w:rPr>
        <w:t xml:space="preserve">za januar 2017.godine; platne liste </w:t>
      </w:r>
      <w:r w:rsidR="00F65C4A" w:rsidRPr="00F65C4A">
        <w:rPr>
          <w:rFonts w:ascii="Tahoma" w:hAnsi="Tahoma" w:cs="Tahoma"/>
          <w:sz w:val="24"/>
          <w:szCs w:val="24"/>
        </w:rPr>
        <w:t xml:space="preserve">Izvršnog rukovodioca </w:t>
      </w:r>
      <w:r w:rsidR="005F6115" w:rsidRPr="005F6115">
        <w:rPr>
          <w:rFonts w:ascii="Tahoma" w:hAnsi="Tahoma" w:cs="Tahoma"/>
          <w:sz w:val="24"/>
          <w:szCs w:val="24"/>
        </w:rPr>
        <w:t>Direkc</w:t>
      </w:r>
      <w:r w:rsidR="005F6115">
        <w:rPr>
          <w:rFonts w:ascii="Tahoma" w:hAnsi="Tahoma" w:cs="Tahoma"/>
          <w:sz w:val="24"/>
          <w:szCs w:val="24"/>
        </w:rPr>
        <w:t>ije za odnose sa javnošću Rajka Šebeka</w:t>
      </w:r>
      <w:r w:rsidR="00FF3349" w:rsidRPr="00FF334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zaposlenih, kao jednim od troškova Elektroprivrede, a ovo </w:t>
      </w:r>
      <w:r w:rsidR="00E96600" w:rsidRPr="00E96600">
        <w:rPr>
          <w:rFonts w:ascii="Tahoma" w:hAnsi="Tahoma" w:cs="Tahoma"/>
          <w:sz w:val="24"/>
          <w:szCs w:val="24"/>
        </w:rPr>
        <w:lastRenderedPageBreak/>
        <w:t>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 xml:space="preserve">te da je pristup </w:t>
      </w:r>
      <w:r w:rsidR="00906D92" w:rsidRPr="00906D92">
        <w:rPr>
          <w:rFonts w:ascii="Tahoma" w:hAnsi="Tahoma" w:cs="Tahoma"/>
          <w:sz w:val="24"/>
          <w:szCs w:val="24"/>
        </w:rPr>
        <w:lastRenderedPageBreak/>
        <w:t>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br. 10-00-1767</w:t>
      </w:r>
      <w:r w:rsidR="006104AA">
        <w:rPr>
          <w:rFonts w:ascii="Tahoma" w:hAnsi="Tahoma" w:cs="Tahoma"/>
          <w:sz w:val="24"/>
          <w:szCs w:val="24"/>
        </w:rPr>
        <w:t>3</w:t>
      </w:r>
      <w:r w:rsidR="00E73F33" w:rsidRPr="00E73F33">
        <w:rPr>
          <w:rFonts w:ascii="Tahoma" w:hAnsi="Tahoma" w:cs="Tahoma"/>
          <w:sz w:val="24"/>
          <w:szCs w:val="24"/>
        </w:rPr>
        <w:t xml:space="preserve">/4 </w:t>
      </w:r>
      <w:r w:rsidR="00E05F73" w:rsidRPr="00E05F73">
        <w:rPr>
          <w:rFonts w:ascii="Tahoma" w:hAnsi="Tahoma" w:cs="Tahoma"/>
          <w:sz w:val="24"/>
          <w:szCs w:val="24"/>
        </w:rPr>
        <w:t>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DC2927" w:rsidRPr="00DC2927">
        <w:rPr>
          <w:rFonts w:ascii="Tahoma" w:hAnsi="Tahoma" w:cs="Tahoma"/>
          <w:sz w:val="24"/>
          <w:szCs w:val="24"/>
        </w:rPr>
        <w:t>br. 17/110132-110134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C8D" w:rsidRDefault="00E47C8D">
      <w:pPr>
        <w:spacing w:after="0" w:line="240" w:lineRule="auto"/>
      </w:pPr>
      <w:r>
        <w:separator/>
      </w:r>
    </w:p>
  </w:endnote>
  <w:endnote w:type="continuationSeparator" w:id="0">
    <w:p w:rsidR="00E47C8D" w:rsidRDefault="00E47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47C8D"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47C8D" w:rsidP="00855C93">
    <w:pPr>
      <w:pStyle w:val="Footer"/>
      <w:rPr>
        <w:b/>
        <w:sz w:val="16"/>
        <w:szCs w:val="16"/>
      </w:rPr>
    </w:pPr>
  </w:p>
  <w:p w:rsidR="0009317F" w:rsidRPr="00E62A90" w:rsidRDefault="00E47C8D" w:rsidP="00855C93">
    <w:pPr>
      <w:pStyle w:val="Footer"/>
      <w:shd w:val="clear" w:color="auto" w:fill="FF0000"/>
      <w:jc w:val="center"/>
      <w:rPr>
        <w:b/>
        <w:color w:val="FF0000"/>
        <w:sz w:val="2"/>
        <w:szCs w:val="2"/>
      </w:rPr>
    </w:pPr>
  </w:p>
  <w:p w:rsidR="0009317F" w:rsidRDefault="00E47C8D"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E47C8D" w:rsidP="00855C93">
    <w:pPr>
      <w:pStyle w:val="Footer"/>
      <w:jc w:val="center"/>
      <w:rPr>
        <w:sz w:val="16"/>
        <w:szCs w:val="16"/>
      </w:rPr>
    </w:pPr>
  </w:p>
  <w:p w:rsidR="0009317F" w:rsidRPr="002B6C39" w:rsidRDefault="00E47C8D">
    <w:pPr>
      <w:pStyle w:val="Footer"/>
    </w:pPr>
  </w:p>
  <w:p w:rsidR="0009317F" w:rsidRDefault="00E47C8D"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47C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C8D" w:rsidRDefault="00E47C8D">
      <w:pPr>
        <w:spacing w:after="0" w:line="240" w:lineRule="auto"/>
      </w:pPr>
      <w:r>
        <w:separator/>
      </w:r>
    </w:p>
  </w:footnote>
  <w:footnote w:type="continuationSeparator" w:id="0">
    <w:p w:rsidR="00E47C8D" w:rsidRDefault="00E47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47C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47C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47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7705A"/>
    <w:rsid w:val="00080CBF"/>
    <w:rsid w:val="00085587"/>
    <w:rsid w:val="000946A1"/>
    <w:rsid w:val="000A3372"/>
    <w:rsid w:val="000A6BE5"/>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48FD"/>
    <w:rsid w:val="00155DC2"/>
    <w:rsid w:val="001706ED"/>
    <w:rsid w:val="00171B46"/>
    <w:rsid w:val="00176680"/>
    <w:rsid w:val="00182A85"/>
    <w:rsid w:val="00183F9A"/>
    <w:rsid w:val="001872C1"/>
    <w:rsid w:val="00194BF4"/>
    <w:rsid w:val="001A3E4F"/>
    <w:rsid w:val="001C23E7"/>
    <w:rsid w:val="001E04C9"/>
    <w:rsid w:val="001F2633"/>
    <w:rsid w:val="001F2F03"/>
    <w:rsid w:val="001F6033"/>
    <w:rsid w:val="00201912"/>
    <w:rsid w:val="00201BA9"/>
    <w:rsid w:val="00204A46"/>
    <w:rsid w:val="0021043F"/>
    <w:rsid w:val="002128DE"/>
    <w:rsid w:val="00212FAB"/>
    <w:rsid w:val="0021716C"/>
    <w:rsid w:val="00221FD8"/>
    <w:rsid w:val="00226C8E"/>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7632"/>
    <w:rsid w:val="00270E5C"/>
    <w:rsid w:val="002A3A47"/>
    <w:rsid w:val="002C28CA"/>
    <w:rsid w:val="002C482D"/>
    <w:rsid w:val="002C6CAE"/>
    <w:rsid w:val="002C72B6"/>
    <w:rsid w:val="002D4D6B"/>
    <w:rsid w:val="002D7427"/>
    <w:rsid w:val="002F0C57"/>
    <w:rsid w:val="002F1FCA"/>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132B"/>
    <w:rsid w:val="0038774F"/>
    <w:rsid w:val="00391083"/>
    <w:rsid w:val="00392FA1"/>
    <w:rsid w:val="003A06E3"/>
    <w:rsid w:val="003A2D5F"/>
    <w:rsid w:val="003A6864"/>
    <w:rsid w:val="003B2F88"/>
    <w:rsid w:val="003B3D88"/>
    <w:rsid w:val="003B5052"/>
    <w:rsid w:val="003B7DD9"/>
    <w:rsid w:val="003C5BD7"/>
    <w:rsid w:val="003D43D2"/>
    <w:rsid w:val="003D4AE2"/>
    <w:rsid w:val="003E5AE4"/>
    <w:rsid w:val="003E7AA9"/>
    <w:rsid w:val="003F20C1"/>
    <w:rsid w:val="00403859"/>
    <w:rsid w:val="004072DA"/>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59DC"/>
    <w:rsid w:val="005417F0"/>
    <w:rsid w:val="00542393"/>
    <w:rsid w:val="00545AC9"/>
    <w:rsid w:val="00546912"/>
    <w:rsid w:val="005528F0"/>
    <w:rsid w:val="005553A6"/>
    <w:rsid w:val="00557441"/>
    <w:rsid w:val="005621AA"/>
    <w:rsid w:val="005710AB"/>
    <w:rsid w:val="00574381"/>
    <w:rsid w:val="00575AFA"/>
    <w:rsid w:val="00576D43"/>
    <w:rsid w:val="00583A96"/>
    <w:rsid w:val="00585E1A"/>
    <w:rsid w:val="00595213"/>
    <w:rsid w:val="00596AFB"/>
    <w:rsid w:val="00597525"/>
    <w:rsid w:val="005A6A6C"/>
    <w:rsid w:val="005B6348"/>
    <w:rsid w:val="005C1838"/>
    <w:rsid w:val="005C3253"/>
    <w:rsid w:val="005C71C6"/>
    <w:rsid w:val="005D3DE8"/>
    <w:rsid w:val="005D543C"/>
    <w:rsid w:val="005D6152"/>
    <w:rsid w:val="005E16BB"/>
    <w:rsid w:val="005E2207"/>
    <w:rsid w:val="005E2A1D"/>
    <w:rsid w:val="005F3F6B"/>
    <w:rsid w:val="005F6115"/>
    <w:rsid w:val="005F7992"/>
    <w:rsid w:val="006104AA"/>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3F23"/>
    <w:rsid w:val="006F4172"/>
    <w:rsid w:val="007030E5"/>
    <w:rsid w:val="00714FFC"/>
    <w:rsid w:val="00726D5A"/>
    <w:rsid w:val="007273A3"/>
    <w:rsid w:val="007324D7"/>
    <w:rsid w:val="00741B7F"/>
    <w:rsid w:val="00746E03"/>
    <w:rsid w:val="0074773A"/>
    <w:rsid w:val="00756F24"/>
    <w:rsid w:val="00761DB1"/>
    <w:rsid w:val="00766C9B"/>
    <w:rsid w:val="00774545"/>
    <w:rsid w:val="00775382"/>
    <w:rsid w:val="00775695"/>
    <w:rsid w:val="00775FC8"/>
    <w:rsid w:val="0078358E"/>
    <w:rsid w:val="007843F1"/>
    <w:rsid w:val="00791C7A"/>
    <w:rsid w:val="007932F0"/>
    <w:rsid w:val="007B35A5"/>
    <w:rsid w:val="007B5181"/>
    <w:rsid w:val="007C5E69"/>
    <w:rsid w:val="007C633D"/>
    <w:rsid w:val="007D0038"/>
    <w:rsid w:val="007D07E9"/>
    <w:rsid w:val="007E028D"/>
    <w:rsid w:val="007E29AA"/>
    <w:rsid w:val="007E57DA"/>
    <w:rsid w:val="007E61F2"/>
    <w:rsid w:val="007F2E33"/>
    <w:rsid w:val="007F63DE"/>
    <w:rsid w:val="008100A8"/>
    <w:rsid w:val="008206EC"/>
    <w:rsid w:val="00835DC8"/>
    <w:rsid w:val="0084253F"/>
    <w:rsid w:val="00854320"/>
    <w:rsid w:val="00857DB7"/>
    <w:rsid w:val="008628B6"/>
    <w:rsid w:val="00877087"/>
    <w:rsid w:val="008804D3"/>
    <w:rsid w:val="00881A06"/>
    <w:rsid w:val="00881CAB"/>
    <w:rsid w:val="00884DC0"/>
    <w:rsid w:val="0088548C"/>
    <w:rsid w:val="00892484"/>
    <w:rsid w:val="00896D4C"/>
    <w:rsid w:val="008A3629"/>
    <w:rsid w:val="008A4405"/>
    <w:rsid w:val="008C0EAF"/>
    <w:rsid w:val="008C1F5E"/>
    <w:rsid w:val="008C28BA"/>
    <w:rsid w:val="008D27F0"/>
    <w:rsid w:val="008D44E2"/>
    <w:rsid w:val="008E2A97"/>
    <w:rsid w:val="008E5E7A"/>
    <w:rsid w:val="008F3B34"/>
    <w:rsid w:val="00906D92"/>
    <w:rsid w:val="0091011A"/>
    <w:rsid w:val="009223B2"/>
    <w:rsid w:val="0092584D"/>
    <w:rsid w:val="00926D6C"/>
    <w:rsid w:val="00937451"/>
    <w:rsid w:val="009515D8"/>
    <w:rsid w:val="0095265B"/>
    <w:rsid w:val="0096672E"/>
    <w:rsid w:val="0097119B"/>
    <w:rsid w:val="00973711"/>
    <w:rsid w:val="00973939"/>
    <w:rsid w:val="009739E5"/>
    <w:rsid w:val="00974A83"/>
    <w:rsid w:val="00975DD0"/>
    <w:rsid w:val="00977399"/>
    <w:rsid w:val="00977D36"/>
    <w:rsid w:val="00980617"/>
    <w:rsid w:val="009825E2"/>
    <w:rsid w:val="0099334C"/>
    <w:rsid w:val="009937A5"/>
    <w:rsid w:val="00993DA6"/>
    <w:rsid w:val="009A08E7"/>
    <w:rsid w:val="009A57BE"/>
    <w:rsid w:val="009B49B4"/>
    <w:rsid w:val="009B6D4C"/>
    <w:rsid w:val="009C3CC2"/>
    <w:rsid w:val="009C7EF3"/>
    <w:rsid w:val="009D393D"/>
    <w:rsid w:val="009F0290"/>
    <w:rsid w:val="009F6F5B"/>
    <w:rsid w:val="009F7AF3"/>
    <w:rsid w:val="00A00DD7"/>
    <w:rsid w:val="00A05F9E"/>
    <w:rsid w:val="00A102CF"/>
    <w:rsid w:val="00A10714"/>
    <w:rsid w:val="00A10CFE"/>
    <w:rsid w:val="00A13CA6"/>
    <w:rsid w:val="00A25357"/>
    <w:rsid w:val="00A26807"/>
    <w:rsid w:val="00A273A4"/>
    <w:rsid w:val="00A32944"/>
    <w:rsid w:val="00A474B3"/>
    <w:rsid w:val="00A516D6"/>
    <w:rsid w:val="00A519F1"/>
    <w:rsid w:val="00A528FA"/>
    <w:rsid w:val="00A56E83"/>
    <w:rsid w:val="00A60D7E"/>
    <w:rsid w:val="00A617A0"/>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23DA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41C"/>
    <w:rsid w:val="00C305C6"/>
    <w:rsid w:val="00C317B1"/>
    <w:rsid w:val="00C3643E"/>
    <w:rsid w:val="00C372D2"/>
    <w:rsid w:val="00C468D2"/>
    <w:rsid w:val="00C4767B"/>
    <w:rsid w:val="00C50655"/>
    <w:rsid w:val="00C603D5"/>
    <w:rsid w:val="00C86012"/>
    <w:rsid w:val="00C861BE"/>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C2927"/>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47C8D"/>
    <w:rsid w:val="00E52AA0"/>
    <w:rsid w:val="00E5404F"/>
    <w:rsid w:val="00E54409"/>
    <w:rsid w:val="00E54F7E"/>
    <w:rsid w:val="00E575C9"/>
    <w:rsid w:val="00E57700"/>
    <w:rsid w:val="00E57984"/>
    <w:rsid w:val="00E633A0"/>
    <w:rsid w:val="00E70FF6"/>
    <w:rsid w:val="00E72EF4"/>
    <w:rsid w:val="00E73F33"/>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5C5D"/>
    <w:rsid w:val="00F115F3"/>
    <w:rsid w:val="00F12CEE"/>
    <w:rsid w:val="00F16A20"/>
    <w:rsid w:val="00F220CD"/>
    <w:rsid w:val="00F2590C"/>
    <w:rsid w:val="00F35E79"/>
    <w:rsid w:val="00F4067E"/>
    <w:rsid w:val="00F40965"/>
    <w:rsid w:val="00F511AB"/>
    <w:rsid w:val="00F54735"/>
    <w:rsid w:val="00F55FFE"/>
    <w:rsid w:val="00F566C5"/>
    <w:rsid w:val="00F612A2"/>
    <w:rsid w:val="00F6315C"/>
    <w:rsid w:val="00F65BFB"/>
    <w:rsid w:val="00F65C4A"/>
    <w:rsid w:val="00F65FBA"/>
    <w:rsid w:val="00F66CA5"/>
    <w:rsid w:val="00F70B05"/>
    <w:rsid w:val="00F73170"/>
    <w:rsid w:val="00F82F59"/>
    <w:rsid w:val="00F8685A"/>
    <w:rsid w:val="00F918AD"/>
    <w:rsid w:val="00F94695"/>
    <w:rsid w:val="00FA2191"/>
    <w:rsid w:val="00FB67F5"/>
    <w:rsid w:val="00FC0ABE"/>
    <w:rsid w:val="00FC0F8B"/>
    <w:rsid w:val="00FC6DB4"/>
    <w:rsid w:val="00FD3F86"/>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04004"/>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6</Pages>
  <Words>2201</Words>
  <Characters>12546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624</cp:revision>
  <cp:lastPrinted>2017-07-18T07:53:00Z</cp:lastPrinted>
  <dcterms:created xsi:type="dcterms:W3CDTF">2016-06-23T13:14:00Z</dcterms:created>
  <dcterms:modified xsi:type="dcterms:W3CDTF">2017-12-15T07:04:00Z</dcterms:modified>
</cp:coreProperties>
</file>