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652A32">
        <w:rPr>
          <w:rFonts w:ascii="Tahoma" w:hAnsi="Tahoma" w:cs="Tahoma"/>
          <w:b/>
          <w:sz w:val="24"/>
          <w:szCs w:val="24"/>
          <w:lang w:val="sr-Latn-CS"/>
        </w:rPr>
        <w:t>2178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F66CC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652A32">
        <w:rPr>
          <w:rFonts w:ascii="Tahoma" w:hAnsi="Tahoma" w:cs="Tahoma"/>
          <w:sz w:val="24"/>
          <w:szCs w:val="24"/>
          <w:lang w:val="sr-Latn-CS"/>
        </w:rPr>
        <w:t>2178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F66CC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F66CC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</w:t>
      </w:r>
      <w:r w:rsidR="00652A32">
        <w:rPr>
          <w:rFonts w:ascii="Tahoma" w:hAnsi="Tahoma" w:cs="Tahoma"/>
          <w:sz w:val="24"/>
          <w:szCs w:val="24"/>
          <w:lang w:val="sr-Latn-CS"/>
        </w:rPr>
        <w:t>koje prostorije je JU SMŠ „Mladost“ Tivat izdavala u zakup kojim pravnim i fizičkim licima za vrijeme od 01.01.2014. godine do 30.06.2014.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652A32">
        <w:rPr>
          <w:rFonts w:ascii="Tahoma" w:hAnsi="Tahoma" w:cs="Tahoma"/>
          <w:sz w:val="24"/>
          <w:szCs w:val="24"/>
          <w:lang w:val="sr-Latn-CS"/>
        </w:rPr>
        <w:t>7616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652A32">
        <w:rPr>
          <w:rFonts w:ascii="Tahoma" w:hAnsi="Tahoma" w:cs="Tahoma"/>
          <w:sz w:val="24"/>
          <w:szCs w:val="24"/>
          <w:lang w:val="sr-Latn-CS"/>
        </w:rPr>
        <w:t>2178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F66CC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652A32">
        <w:rPr>
          <w:rFonts w:ascii="Tahoma" w:hAnsi="Tahoma" w:cs="Tahoma"/>
          <w:sz w:val="24"/>
          <w:szCs w:val="24"/>
          <w:lang w:val="sr-Latn-CS"/>
        </w:rPr>
        <w:t>7616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36B">
        <w:rPr>
          <w:rFonts w:ascii="Tahoma" w:hAnsi="Tahoma" w:cs="Tahoma"/>
          <w:sz w:val="24"/>
          <w:szCs w:val="24"/>
          <w:lang w:val="sr-Latn-CS"/>
        </w:rPr>
        <w:t>28.07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AF66CC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652A32">
        <w:rPr>
          <w:rFonts w:ascii="Tahoma" w:hAnsi="Tahoma" w:cs="Tahoma"/>
          <w:sz w:val="24"/>
          <w:szCs w:val="24"/>
          <w:lang w:val="sr-Latn-CS"/>
        </w:rPr>
        <w:t>7616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A450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652A32">
        <w:rPr>
          <w:rFonts w:ascii="Tahoma" w:hAnsi="Tahoma" w:cs="Tahoma"/>
          <w:sz w:val="24"/>
          <w:szCs w:val="24"/>
          <w:lang w:val="sr-Latn-CS"/>
        </w:rPr>
        <w:t>294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19F" w:rsidRDefault="00FC719F">
      <w:pPr>
        <w:spacing w:after="0" w:line="240" w:lineRule="auto"/>
      </w:pPr>
      <w:r>
        <w:separator/>
      </w:r>
    </w:p>
  </w:endnote>
  <w:endnote w:type="continuationSeparator" w:id="0">
    <w:p w:rsidR="00FC719F" w:rsidRDefault="00FC7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C719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719F" w:rsidP="00EA2993">
    <w:pPr>
      <w:pStyle w:val="Footer"/>
      <w:rPr>
        <w:b/>
        <w:sz w:val="16"/>
        <w:szCs w:val="16"/>
      </w:rPr>
    </w:pPr>
  </w:p>
  <w:p w:rsidR="0090753B" w:rsidRPr="00E62A90" w:rsidRDefault="00FC719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C719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C719F" w:rsidP="00E03674">
    <w:pPr>
      <w:pStyle w:val="Footer"/>
      <w:jc w:val="center"/>
      <w:rPr>
        <w:sz w:val="16"/>
        <w:szCs w:val="16"/>
      </w:rPr>
    </w:pPr>
  </w:p>
  <w:p w:rsidR="0090753B" w:rsidRPr="002B6C39" w:rsidRDefault="00FC719F">
    <w:pPr>
      <w:pStyle w:val="Footer"/>
    </w:pPr>
  </w:p>
  <w:p w:rsidR="0090753B" w:rsidRDefault="00FC719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71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19F" w:rsidRDefault="00FC719F">
      <w:pPr>
        <w:spacing w:after="0" w:line="240" w:lineRule="auto"/>
      </w:pPr>
      <w:r>
        <w:separator/>
      </w:r>
    </w:p>
  </w:footnote>
  <w:footnote w:type="continuationSeparator" w:id="0">
    <w:p w:rsidR="00FC719F" w:rsidRDefault="00FC7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71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71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71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4506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236B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4586F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2A32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0FC4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4E7E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6CC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C719F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B53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</cp:revision>
  <cp:lastPrinted>2017-09-20T12:18:00Z</cp:lastPrinted>
  <dcterms:created xsi:type="dcterms:W3CDTF">2017-09-20T09:14:00Z</dcterms:created>
  <dcterms:modified xsi:type="dcterms:W3CDTF">2017-12-21T10:43:00Z</dcterms:modified>
</cp:coreProperties>
</file>