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352739">
        <w:rPr>
          <w:rFonts w:ascii="Tahoma" w:hAnsi="Tahoma" w:cs="Tahoma"/>
          <w:b/>
          <w:sz w:val="24"/>
          <w:szCs w:val="24"/>
        </w:rPr>
        <w:t>210</w:t>
      </w:r>
      <w:r w:rsidR="00364238">
        <w:rPr>
          <w:rFonts w:ascii="Tahoma" w:hAnsi="Tahoma" w:cs="Tahoma"/>
          <w:b/>
          <w:sz w:val="24"/>
          <w:szCs w:val="24"/>
        </w:rPr>
        <w:t>7</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F603C">
        <w:rPr>
          <w:rFonts w:ascii="Tahoma" w:hAnsi="Tahoma" w:cs="Tahoma"/>
          <w:b/>
          <w:sz w:val="24"/>
          <w:szCs w:val="24"/>
        </w:rPr>
        <w:t>25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9C2EED">
        <w:rPr>
          <w:rFonts w:ascii="Tahoma" w:hAnsi="Tahoma" w:cs="Tahoma"/>
          <w:sz w:val="24"/>
          <w:szCs w:val="24"/>
        </w:rPr>
        <w:t>11204</w:t>
      </w:r>
      <w:r w:rsidR="000C086B">
        <w:rPr>
          <w:rFonts w:ascii="Tahoma" w:hAnsi="Tahoma" w:cs="Tahoma"/>
          <w:sz w:val="24"/>
          <w:szCs w:val="24"/>
        </w:rPr>
        <w:t>5</w:t>
      </w:r>
      <w:r w:rsidR="00B60216">
        <w:rPr>
          <w:rFonts w:ascii="Tahoma" w:hAnsi="Tahoma" w:cs="Tahoma"/>
          <w:sz w:val="24"/>
          <w:szCs w:val="24"/>
        </w:rPr>
        <w:t xml:space="preserve"> od </w:t>
      </w:r>
      <w:r w:rsidR="00F70027">
        <w:rPr>
          <w:rFonts w:ascii="Tahoma" w:hAnsi="Tahoma" w:cs="Tahoma"/>
          <w:sz w:val="24"/>
          <w:szCs w:val="24"/>
        </w:rPr>
        <w:t xml:space="preserve"> </w:t>
      </w:r>
      <w:r w:rsidR="009C2EED">
        <w:rPr>
          <w:rFonts w:ascii="Tahoma" w:hAnsi="Tahoma" w:cs="Tahoma"/>
          <w:sz w:val="24"/>
          <w:szCs w:val="24"/>
        </w:rPr>
        <w:t>27</w:t>
      </w:r>
      <w:r w:rsidR="0031584B">
        <w:rPr>
          <w:rFonts w:ascii="Tahoma" w:hAnsi="Tahoma" w:cs="Tahoma"/>
          <w:sz w:val="24"/>
          <w:szCs w:val="24"/>
        </w:rPr>
        <w:t>.0</w:t>
      </w:r>
      <w:r w:rsidR="009C2EED">
        <w:rPr>
          <w:rFonts w:ascii="Tahoma" w:hAnsi="Tahoma" w:cs="Tahoma"/>
          <w:sz w:val="24"/>
          <w:szCs w:val="24"/>
        </w:rPr>
        <w:t>6</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31584B">
        <w:rPr>
          <w:rFonts w:ascii="Tahoma" w:hAnsi="Tahoma" w:cs="Tahoma"/>
          <w:sz w:val="24"/>
          <w:szCs w:val="24"/>
        </w:rPr>
        <w:t>Poreske uprave</w:t>
      </w:r>
      <w:r w:rsidR="009E5948">
        <w:rPr>
          <w:rFonts w:ascii="Tahoma" w:hAnsi="Tahoma" w:cs="Tahoma"/>
          <w:sz w:val="24"/>
          <w:szCs w:val="24"/>
        </w:rPr>
        <w:t xml:space="preserve"> </w:t>
      </w:r>
      <w:r w:rsidR="0031584B">
        <w:rPr>
          <w:rFonts w:ascii="Tahoma" w:hAnsi="Tahoma" w:cs="Tahoma"/>
          <w:sz w:val="24"/>
          <w:szCs w:val="24"/>
        </w:rPr>
        <w:t>br. 03/1-</w:t>
      </w:r>
      <w:r w:rsidR="00F4425A">
        <w:rPr>
          <w:rFonts w:ascii="Tahoma" w:hAnsi="Tahoma" w:cs="Tahoma"/>
          <w:sz w:val="24"/>
          <w:szCs w:val="24"/>
        </w:rPr>
        <w:t>958</w:t>
      </w:r>
      <w:r w:rsidR="00235C2D">
        <w:rPr>
          <w:rFonts w:ascii="Tahoma" w:hAnsi="Tahoma" w:cs="Tahoma"/>
          <w:sz w:val="24"/>
          <w:szCs w:val="24"/>
        </w:rPr>
        <w:t>9</w:t>
      </w:r>
      <w:r w:rsidR="0031584B">
        <w:rPr>
          <w:rFonts w:ascii="Tahoma" w:hAnsi="Tahoma" w:cs="Tahoma"/>
          <w:sz w:val="24"/>
          <w:szCs w:val="24"/>
        </w:rPr>
        <w:t>/2-17</w:t>
      </w:r>
      <w:r w:rsidR="00451FE5">
        <w:rPr>
          <w:rFonts w:ascii="Tahoma" w:hAnsi="Tahoma" w:cs="Tahoma"/>
          <w:sz w:val="24"/>
          <w:szCs w:val="24"/>
        </w:rPr>
        <w:t xml:space="preserve"> od </w:t>
      </w:r>
      <w:r w:rsidR="00F4425A">
        <w:rPr>
          <w:rFonts w:ascii="Tahoma" w:hAnsi="Tahoma" w:cs="Tahoma"/>
          <w:sz w:val="24"/>
          <w:szCs w:val="24"/>
        </w:rPr>
        <w:t>12</w:t>
      </w:r>
      <w:r w:rsidR="0031584B">
        <w:rPr>
          <w:rFonts w:ascii="Tahoma" w:hAnsi="Tahoma" w:cs="Tahoma"/>
          <w:sz w:val="24"/>
          <w:szCs w:val="24"/>
        </w:rPr>
        <w:t>.0</w:t>
      </w:r>
      <w:r w:rsidR="00F4425A">
        <w:rPr>
          <w:rFonts w:ascii="Tahoma" w:hAnsi="Tahoma" w:cs="Tahoma"/>
          <w:sz w:val="24"/>
          <w:szCs w:val="24"/>
        </w:rPr>
        <w:t>6</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1A1B27">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C53B02" w:rsidRDefault="004C30C2" w:rsidP="00C53B02">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31584B" w:rsidRPr="00C53B02">
        <w:rPr>
          <w:rFonts w:ascii="Tahoma" w:hAnsi="Tahoma" w:cs="Tahoma"/>
          <w:sz w:val="24"/>
          <w:szCs w:val="24"/>
        </w:rPr>
        <w:t>Odbija se zahtjev Mreže za afirmaciju nevladinog sektora - MANS, br. 17/</w:t>
      </w:r>
      <w:r w:rsidR="002E30C5">
        <w:rPr>
          <w:rFonts w:ascii="Tahoma" w:hAnsi="Tahoma" w:cs="Tahoma"/>
          <w:sz w:val="24"/>
          <w:szCs w:val="24"/>
        </w:rPr>
        <w:t>11204</w:t>
      </w:r>
      <w:r w:rsidR="00C04DDD">
        <w:rPr>
          <w:rFonts w:ascii="Tahoma" w:hAnsi="Tahoma" w:cs="Tahoma"/>
          <w:sz w:val="24"/>
          <w:szCs w:val="24"/>
        </w:rPr>
        <w:t>5</w:t>
      </w:r>
      <w:r w:rsidR="0031584B" w:rsidRPr="00C53B02">
        <w:rPr>
          <w:rFonts w:ascii="Tahoma" w:hAnsi="Tahoma" w:cs="Tahoma"/>
          <w:sz w:val="24"/>
          <w:szCs w:val="24"/>
        </w:rPr>
        <w:t xml:space="preserve"> od </w:t>
      </w:r>
      <w:r w:rsidR="00565066">
        <w:rPr>
          <w:rFonts w:ascii="Tahoma" w:hAnsi="Tahoma" w:cs="Tahoma"/>
          <w:sz w:val="24"/>
          <w:szCs w:val="24"/>
        </w:rPr>
        <w:t>30</w:t>
      </w:r>
      <w:r w:rsidR="0031584B" w:rsidRPr="00C53B02">
        <w:rPr>
          <w:rFonts w:ascii="Tahoma" w:hAnsi="Tahoma" w:cs="Tahoma"/>
          <w:sz w:val="24"/>
          <w:szCs w:val="24"/>
        </w:rPr>
        <w:t>.0</w:t>
      </w:r>
      <w:r w:rsidR="002E30C5">
        <w:rPr>
          <w:rFonts w:ascii="Tahoma" w:hAnsi="Tahoma" w:cs="Tahoma"/>
          <w:sz w:val="24"/>
          <w:szCs w:val="24"/>
        </w:rPr>
        <w:t>5</w:t>
      </w:r>
      <w:r w:rsidR="0031584B" w:rsidRPr="00C53B02">
        <w:rPr>
          <w:rFonts w:ascii="Tahoma" w:hAnsi="Tahoma" w:cs="Tahoma"/>
          <w:sz w:val="24"/>
          <w:szCs w:val="24"/>
        </w:rPr>
        <w:t>.2017. godine, kojim je tražen pristup informaciji dostavom kopije</w:t>
      </w:r>
      <w:r w:rsidR="00C30B7D">
        <w:rPr>
          <w:rFonts w:ascii="Tahoma" w:hAnsi="Tahoma" w:cs="Tahoma"/>
          <w:sz w:val="24"/>
          <w:szCs w:val="24"/>
        </w:rPr>
        <w:t xml:space="preserve"> </w:t>
      </w:r>
      <w:r w:rsidR="0072594E">
        <w:rPr>
          <w:rFonts w:ascii="Tahoma" w:hAnsi="Tahoma" w:cs="Tahoma"/>
          <w:sz w:val="24"/>
          <w:szCs w:val="24"/>
        </w:rPr>
        <w:t xml:space="preserve">svih zapisnika o izvršenom inspekcijskom nadzoru kod poreskog obveznika doo </w:t>
      </w:r>
      <w:r w:rsidR="00F2473F">
        <w:rPr>
          <w:rFonts w:ascii="Tahoma" w:hAnsi="Tahoma" w:cs="Tahoma"/>
          <w:sz w:val="24"/>
          <w:szCs w:val="24"/>
        </w:rPr>
        <w:t>„</w:t>
      </w:r>
      <w:r w:rsidR="00C04DDD">
        <w:rPr>
          <w:rFonts w:ascii="Tahoma" w:hAnsi="Tahoma" w:cs="Tahoma"/>
          <w:sz w:val="24"/>
          <w:szCs w:val="24"/>
        </w:rPr>
        <w:t>Pubs and bars</w:t>
      </w:r>
      <w:r w:rsidR="00F2473F">
        <w:rPr>
          <w:rFonts w:ascii="Tahoma" w:hAnsi="Tahoma" w:cs="Tahoma"/>
          <w:sz w:val="24"/>
          <w:szCs w:val="24"/>
        </w:rPr>
        <w:t xml:space="preserve">“ iz Podgorice u periodu od </w:t>
      </w:r>
      <w:r w:rsidR="002E30C5">
        <w:rPr>
          <w:rFonts w:ascii="Tahoma" w:hAnsi="Tahoma" w:cs="Tahoma"/>
          <w:sz w:val="24"/>
          <w:szCs w:val="24"/>
        </w:rPr>
        <w:t>januara 2015.godine do dana podnošenja zahtjeva</w:t>
      </w:r>
      <w:r w:rsidR="0031584B" w:rsidRPr="00C53B02">
        <w:rPr>
          <w:rFonts w:ascii="Tahoma" w:hAnsi="Tahoma" w:cs="Tahoma"/>
          <w:sz w:val="24"/>
          <w:szCs w:val="24"/>
        </w:rPr>
        <w:t>, kao neosnovan</w:t>
      </w:r>
      <w:r w:rsidR="006C186A" w:rsidRPr="00C53B02">
        <w:rPr>
          <w:rFonts w:ascii="Tahoma" w:hAnsi="Tahoma" w:cs="Tahoma"/>
          <w:sz w:val="24"/>
          <w:szCs w:val="24"/>
        </w:rPr>
        <w:t>.“</w:t>
      </w:r>
      <w:r w:rsidR="00BA798A" w:rsidRPr="00C53B02">
        <w:rPr>
          <w:rFonts w:ascii="Tahoma" w:hAnsi="Tahoma" w:cs="Tahoma"/>
          <w:b/>
          <w:sz w:val="24"/>
          <w:szCs w:val="24"/>
        </w:rPr>
        <w:t xml:space="preserve"> </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C53B02" w:rsidRPr="00C53B02">
        <w:rPr>
          <w:rFonts w:ascii="Tahoma" w:hAnsi="Tahoma" w:cs="Tahoma"/>
          <w:sz w:val="24"/>
          <w:szCs w:val="24"/>
        </w:rPr>
        <w:t xml:space="preserve">je podnosilac zahtjeva Poreskoj upravi podnio predmetni zahtjev dana </w:t>
      </w:r>
      <w:r w:rsidR="007B3808">
        <w:rPr>
          <w:rFonts w:ascii="Tahoma" w:hAnsi="Tahoma" w:cs="Tahoma"/>
          <w:sz w:val="24"/>
          <w:szCs w:val="24"/>
        </w:rPr>
        <w:t>30</w:t>
      </w:r>
      <w:r w:rsidR="00C53B02" w:rsidRPr="00C53B02">
        <w:rPr>
          <w:rFonts w:ascii="Tahoma" w:hAnsi="Tahoma" w:cs="Tahoma"/>
          <w:sz w:val="24"/>
          <w:szCs w:val="24"/>
        </w:rPr>
        <w:t>.0</w:t>
      </w:r>
      <w:r w:rsidR="002303CB">
        <w:rPr>
          <w:rFonts w:ascii="Tahoma" w:hAnsi="Tahoma" w:cs="Tahoma"/>
          <w:sz w:val="24"/>
          <w:szCs w:val="24"/>
        </w:rPr>
        <w:t>5</w:t>
      </w:r>
      <w:r w:rsidR="00C53B02" w:rsidRPr="00C53B02">
        <w:rPr>
          <w:rFonts w:ascii="Tahoma" w:hAnsi="Tahoma" w:cs="Tahoma"/>
          <w:sz w:val="24"/>
          <w:szCs w:val="24"/>
        </w:rPr>
        <w:t>.2017. godine, kojim je tražen pristup informaciji, te da je prvostepeni organ, postupajući po zahtjevu, utvrdio da se tražene informacije nalaze u njegovom posjedu ali da se zahtjevu ne može udovoljiti iz razloga što je riječ o informacijama koje predstavljaju poresku tajnu, shodno članu 16 stav 1 Zakon</w:t>
      </w:r>
      <w:r w:rsidR="000E18B3">
        <w:rPr>
          <w:rFonts w:ascii="Tahoma" w:hAnsi="Tahoma" w:cs="Tahoma"/>
          <w:sz w:val="24"/>
          <w:szCs w:val="24"/>
        </w:rPr>
        <w:t>a o poreskoj administraciji ("Sl</w:t>
      </w:r>
      <w:r w:rsidR="00C53B02" w:rsidRPr="00C53B02">
        <w:rPr>
          <w:rFonts w:ascii="Tahoma" w:hAnsi="Tahoma" w:cs="Tahoma"/>
          <w:sz w:val="24"/>
          <w:szCs w:val="24"/>
        </w:rPr>
        <w:t>.list RCG", br.</w:t>
      </w:r>
      <w:r w:rsidR="00C53B02">
        <w:rPr>
          <w:rFonts w:ascii="Tahoma" w:hAnsi="Tahoma" w:cs="Tahoma"/>
          <w:sz w:val="24"/>
          <w:szCs w:val="24"/>
        </w:rPr>
        <w:t xml:space="preserve"> </w:t>
      </w:r>
      <w:r w:rsidR="00790761">
        <w:rPr>
          <w:rFonts w:ascii="Tahoma" w:hAnsi="Tahoma" w:cs="Tahoma"/>
          <w:sz w:val="24"/>
          <w:szCs w:val="24"/>
        </w:rPr>
        <w:t>65/01,</w:t>
      </w:r>
      <w:r w:rsidR="00C53B02">
        <w:rPr>
          <w:rFonts w:ascii="Tahoma" w:hAnsi="Tahoma" w:cs="Tahoma"/>
          <w:sz w:val="24"/>
          <w:szCs w:val="24"/>
        </w:rPr>
        <w:t xml:space="preserve"> </w:t>
      </w:r>
      <w:r w:rsidR="00790761">
        <w:rPr>
          <w:rFonts w:ascii="Tahoma" w:hAnsi="Tahoma" w:cs="Tahoma"/>
          <w:sz w:val="24"/>
          <w:szCs w:val="24"/>
        </w:rPr>
        <w:t>20/11,</w:t>
      </w:r>
      <w:r w:rsidR="00C53B02">
        <w:rPr>
          <w:rFonts w:ascii="Tahoma" w:hAnsi="Tahoma" w:cs="Tahoma"/>
          <w:sz w:val="24"/>
          <w:szCs w:val="24"/>
        </w:rPr>
        <w:t xml:space="preserve"> </w:t>
      </w:r>
      <w:r w:rsidR="00C53B02" w:rsidRPr="00C53B02">
        <w:rPr>
          <w:rFonts w:ascii="Tahoma" w:hAnsi="Tahoma" w:cs="Tahoma"/>
          <w:sz w:val="24"/>
          <w:szCs w:val="24"/>
        </w:rPr>
        <w:t>28/12..</w:t>
      </w:r>
      <w:r w:rsidR="00C53B02">
        <w:rPr>
          <w:rFonts w:ascii="Tahoma" w:hAnsi="Tahoma" w:cs="Tahoma"/>
          <w:sz w:val="24"/>
          <w:szCs w:val="24"/>
        </w:rPr>
        <w:t xml:space="preserve"> </w:t>
      </w:r>
      <w:r w:rsidR="00C53B02" w:rsidRPr="00C53B02">
        <w:rPr>
          <w:rFonts w:ascii="Tahoma" w:hAnsi="Tahoma" w:cs="Tahoma"/>
          <w:sz w:val="24"/>
          <w:szCs w:val="24"/>
        </w:rPr>
        <w:t>08/15). Navodi se da je poreska tajna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w:t>
      </w:r>
      <w:r w:rsidR="00790761">
        <w:rPr>
          <w:rFonts w:ascii="Tahoma" w:hAnsi="Tahoma" w:cs="Tahoma"/>
          <w:sz w:val="24"/>
          <w:szCs w:val="24"/>
        </w:rPr>
        <w:t>užnika. Stavom 2 ovog člana pro</w:t>
      </w:r>
      <w:r w:rsidR="00C53B02" w:rsidRPr="00C53B02">
        <w:rPr>
          <w:rFonts w:ascii="Tahoma" w:hAnsi="Tahoma" w:cs="Tahoma"/>
          <w:sz w:val="24"/>
          <w:szCs w:val="24"/>
        </w:rPr>
        <w:t xml:space="preserve">pisano je da se podaci </w:t>
      </w:r>
      <w:r w:rsidR="00C53B02" w:rsidRPr="00C53B02">
        <w:rPr>
          <w:rFonts w:ascii="Tahoma" w:hAnsi="Tahoma" w:cs="Tahoma"/>
          <w:sz w:val="24"/>
          <w:szCs w:val="24"/>
        </w:rPr>
        <w:lastRenderedPageBreak/>
        <w:t>koji predstavljaju poresku tajnu mogu učiniti dostupnim drugom državnom organu, na zahtjev tog organa i u skladu sa zakonom, dok se Zakonom o slobodno pristupu informacijama u članu 14 stav 1 tačka 6 dozvoljava ograničenje pristupu informacijama ili dijelu informacije kada organ vlasti utvdi da se radi o poslovnoj ili poreskoj tajni u skladu sa zakonom. Poreska uprava</w:t>
      </w:r>
      <w:r w:rsidR="00F32873">
        <w:rPr>
          <w:rFonts w:ascii="Tahoma" w:hAnsi="Tahoma" w:cs="Tahoma"/>
          <w:sz w:val="24"/>
          <w:szCs w:val="24"/>
        </w:rPr>
        <w:t xml:space="preserve"> je </w:t>
      </w:r>
      <w:r w:rsidR="00C53B02" w:rsidRPr="00C53B02">
        <w:rPr>
          <w:rFonts w:ascii="Tahoma" w:hAnsi="Tahoma" w:cs="Tahoma"/>
          <w:sz w:val="24"/>
          <w:szCs w:val="24"/>
        </w:rPr>
        <w:t xml:space="preserve"> sprovela test štetnositi objavljivanja ove informacije, u skladu sa odredbama člana 16 stav 1 Zakona o slobodnom pristupu informacijama i utvrdila da bi objelodanjivanje ove informacije predstavljalo kršenje pozitivnih propisa - konkretno Zakona o poreskoj administraciji kojim se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 </w:t>
      </w:r>
      <w:r w:rsidR="00DE417D">
        <w:rPr>
          <w:rFonts w:ascii="Tahoma" w:hAnsi="Tahoma" w:cs="Tahoma"/>
          <w:sz w:val="24"/>
          <w:szCs w:val="24"/>
        </w:rPr>
        <w:t>U konkretkom slučaju</w:t>
      </w:r>
      <w:r w:rsidR="00C53B02" w:rsidRPr="00C53B02">
        <w:rPr>
          <w:rFonts w:ascii="Tahoma" w:hAnsi="Tahoma" w:cs="Tahoma"/>
          <w:sz w:val="24"/>
          <w:szCs w:val="24"/>
        </w:rPr>
        <w:t xml:space="preserve"> ne postoji preovladjujući </w:t>
      </w:r>
      <w:r w:rsidR="00DE417D">
        <w:rPr>
          <w:rFonts w:ascii="Tahoma" w:hAnsi="Tahoma" w:cs="Tahoma"/>
          <w:sz w:val="24"/>
          <w:szCs w:val="24"/>
        </w:rPr>
        <w:t>i</w:t>
      </w:r>
      <w:r w:rsidR="00C53B02" w:rsidRPr="00C53B02">
        <w:rPr>
          <w:rFonts w:ascii="Tahoma" w:hAnsi="Tahoma" w:cs="Tahoma"/>
          <w:sz w:val="24"/>
          <w:szCs w:val="24"/>
        </w:rPr>
        <w:t xml:space="preserve">nteres za objavljivanje konkretne informacije iz razloga što sadržina iste ne ukazuje na član 17 stav 1 Zakona o slobodnom pristupu informacijama. Naime, </w:t>
      </w:r>
      <w:r w:rsidR="00DE417D">
        <w:rPr>
          <w:rFonts w:ascii="Tahoma" w:hAnsi="Tahoma" w:cs="Tahoma"/>
          <w:sz w:val="24"/>
          <w:szCs w:val="24"/>
        </w:rPr>
        <w:t>članom</w:t>
      </w:r>
      <w:r w:rsidR="00C53B02" w:rsidRPr="00C53B02">
        <w:rPr>
          <w:rFonts w:ascii="Tahoma" w:hAnsi="Tahoma" w:cs="Tahoma"/>
          <w:sz w:val="24"/>
          <w:szCs w:val="24"/>
        </w:rPr>
        <w:t xml:space="preserve">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 Kako se u konkretnom slučaju radi o poreskoj tajni, pri čemu poreski obveznik na koga se odnose podaci nije dao pisano odobrenje za objavljivanje navedenih podataka, niti je riječ o podacima za koje postoji preovladjujući javni interes za objavljivanje, to je odlučeno kao u dispozitivu rješenja</w:t>
      </w:r>
      <w:r w:rsidR="008951D2" w:rsidRPr="00C53B02">
        <w:rPr>
          <w:rFonts w:ascii="Tahoma" w:hAnsi="Tahoma" w:cs="Tahoma"/>
          <w:sz w:val="24"/>
          <w:szCs w:val="24"/>
        </w:rPr>
        <w:t>.</w:t>
      </w:r>
    </w:p>
    <w:p w:rsidR="001647EC" w:rsidRPr="001647EC" w:rsidRDefault="000965B2" w:rsidP="001647EC">
      <w:pPr>
        <w:jc w:val="both"/>
        <w:rPr>
          <w:rFonts w:ascii="Tahoma" w:hAnsi="Tahoma" w:cs="Tahoma"/>
          <w:sz w:val="24"/>
          <w:szCs w:val="24"/>
        </w:rPr>
      </w:pPr>
      <w:r w:rsidRPr="001647EC">
        <w:rPr>
          <w:rFonts w:ascii="Tahoma" w:hAnsi="Tahoma" w:cs="Tahoma"/>
          <w:sz w:val="24"/>
          <w:szCs w:val="24"/>
        </w:rPr>
        <w:t>Protiv ovog rješenja u zakon</w:t>
      </w:r>
      <w:r w:rsidR="00755127" w:rsidRPr="001647EC">
        <w:rPr>
          <w:rFonts w:ascii="Tahoma" w:hAnsi="Tahoma" w:cs="Tahoma"/>
          <w:sz w:val="24"/>
          <w:szCs w:val="24"/>
        </w:rPr>
        <w:t>s</w:t>
      </w:r>
      <w:r w:rsidRPr="001647EC">
        <w:rPr>
          <w:rFonts w:ascii="Tahoma" w:hAnsi="Tahoma" w:cs="Tahoma"/>
          <w:sz w:val="24"/>
          <w:szCs w:val="24"/>
        </w:rPr>
        <w:t>kom roku podnosilac zahtjeva je uložio žalbu.</w:t>
      </w:r>
      <w:r w:rsidR="00F676FF" w:rsidRPr="001647EC">
        <w:rPr>
          <w:rFonts w:ascii="Tahoma" w:hAnsi="Tahoma" w:cs="Tahoma"/>
          <w:sz w:val="24"/>
          <w:szCs w:val="24"/>
        </w:rPr>
        <w:t xml:space="preserve"> U žalbi je navedeno da rješenje pobija iz svih zakonom predviđenih razloga. U </w:t>
      </w:r>
      <w:r w:rsidR="005D6ACA" w:rsidRPr="001647EC">
        <w:rPr>
          <w:rFonts w:ascii="Tahoma" w:hAnsi="Tahoma" w:cs="Tahoma"/>
          <w:sz w:val="24"/>
          <w:szCs w:val="24"/>
        </w:rPr>
        <w:t>bitnom se</w:t>
      </w:r>
      <w:r w:rsidR="00F676FF" w:rsidRPr="001647EC">
        <w:rPr>
          <w:rFonts w:ascii="Tahoma" w:hAnsi="Tahoma" w:cs="Tahoma"/>
          <w:sz w:val="24"/>
          <w:szCs w:val="24"/>
        </w:rPr>
        <w:t xml:space="preserve"> navodi </w:t>
      </w:r>
      <w:r w:rsidR="00451FE5" w:rsidRPr="001647EC">
        <w:rPr>
          <w:rFonts w:ascii="Tahoma" w:hAnsi="Tahoma" w:cs="Tahoma"/>
          <w:sz w:val="24"/>
          <w:szCs w:val="24"/>
        </w:rPr>
        <w:t xml:space="preserve"> </w:t>
      </w:r>
      <w:r w:rsidR="001647EC" w:rsidRPr="001647EC">
        <w:rPr>
          <w:rFonts w:ascii="Tahoma" w:hAnsi="Tahoma" w:cs="Tahoma"/>
          <w:sz w:val="24"/>
          <w:szCs w:val="24"/>
        </w:rPr>
        <w:t xml:space="preserve">da </w:t>
      </w:r>
      <w:r w:rsidR="00343830">
        <w:rPr>
          <w:rFonts w:ascii="Tahoma" w:hAnsi="Tahoma" w:cs="Tahoma"/>
          <w:sz w:val="24"/>
          <w:szCs w:val="24"/>
        </w:rPr>
        <w:t>15</w:t>
      </w:r>
      <w:r w:rsidR="001647EC" w:rsidRPr="001647EC">
        <w:rPr>
          <w:rFonts w:ascii="Tahoma" w:hAnsi="Tahoma" w:cs="Tahoma"/>
          <w:sz w:val="24"/>
          <w:szCs w:val="24"/>
        </w:rPr>
        <w:t xml:space="preserve">. </w:t>
      </w:r>
      <w:r w:rsidR="00343830">
        <w:rPr>
          <w:rFonts w:ascii="Tahoma" w:hAnsi="Tahoma" w:cs="Tahoma"/>
          <w:sz w:val="24"/>
          <w:szCs w:val="24"/>
        </w:rPr>
        <w:t>juna</w:t>
      </w:r>
      <w:r w:rsidR="00776BD2">
        <w:rPr>
          <w:rFonts w:ascii="Tahoma" w:hAnsi="Tahoma" w:cs="Tahoma"/>
          <w:sz w:val="24"/>
          <w:szCs w:val="24"/>
        </w:rPr>
        <w:t xml:space="preserve"> 2017. godine Poreska uprava</w:t>
      </w:r>
      <w:r w:rsidR="001647EC" w:rsidRPr="001647EC">
        <w:rPr>
          <w:rFonts w:ascii="Tahoma" w:hAnsi="Tahoma" w:cs="Tahoma"/>
          <w:sz w:val="24"/>
          <w:szCs w:val="24"/>
        </w:rPr>
        <w:t xml:space="preserve"> žaliocu dostavlja rješenje broj: </w:t>
      </w:r>
      <w:r w:rsidR="000B497A" w:rsidRPr="000B497A">
        <w:rPr>
          <w:rFonts w:ascii="Tahoma" w:hAnsi="Tahoma" w:cs="Tahoma"/>
          <w:sz w:val="24"/>
          <w:szCs w:val="24"/>
        </w:rPr>
        <w:t xml:space="preserve">br. </w:t>
      </w:r>
      <w:r w:rsidR="00E67F9F" w:rsidRPr="00E67F9F">
        <w:rPr>
          <w:rFonts w:ascii="Tahoma" w:hAnsi="Tahoma" w:cs="Tahoma"/>
          <w:sz w:val="24"/>
          <w:szCs w:val="24"/>
        </w:rPr>
        <w:t xml:space="preserve">br. </w:t>
      </w:r>
      <w:r w:rsidR="00531D13" w:rsidRPr="00531D13">
        <w:rPr>
          <w:rFonts w:ascii="Tahoma" w:hAnsi="Tahoma" w:cs="Tahoma"/>
          <w:sz w:val="24"/>
          <w:szCs w:val="24"/>
        </w:rPr>
        <w:t xml:space="preserve">03/1-9589/2-17 od 12.06.2017.godine </w:t>
      </w:r>
      <w:r w:rsidR="001647EC" w:rsidRPr="001647EC">
        <w:rPr>
          <w:rFonts w:ascii="Tahoma" w:hAnsi="Tahoma" w:cs="Tahoma"/>
          <w:sz w:val="24"/>
          <w:szCs w:val="24"/>
        </w:rPr>
        <w:t xml:space="preserve">kojim odbija zahtjev kao neosnovan. Žalilac u cjelosti osporava rješenje prvostepenog organa jer je isto zasnovano na pogrešno i nepotpuno utvrđenom činjeničnom stanju i pogrešnoj primjeni normi materijalnog prava, a na koji način je došlo do povrede pravila postupka. </w:t>
      </w:r>
      <w:r w:rsidR="00776BD2">
        <w:rPr>
          <w:rFonts w:ascii="Tahoma" w:hAnsi="Tahoma" w:cs="Tahoma"/>
          <w:sz w:val="24"/>
          <w:szCs w:val="24"/>
        </w:rPr>
        <w:t>Č</w:t>
      </w:r>
      <w:r w:rsidR="001647EC" w:rsidRPr="001647EC">
        <w:rPr>
          <w:rFonts w:ascii="Tahoma" w:hAnsi="Tahoma" w:cs="Tahoma"/>
          <w:sz w:val="24"/>
          <w:szCs w:val="24"/>
        </w:rPr>
        <w:t xml:space="preserve">lan 7 Zakona o slobodnom pristupu informacijama propisuje da je pristup informacijama od javnog interesa i da se isti može ograničiti samo radi zaštite interesa propisanih ovim zakonom. Utvrđivanjem javnog interesa u ovoj oblasti na nesumnjiv način dat </w:t>
      </w:r>
      <w:r w:rsidR="001647EC" w:rsidRPr="001647EC">
        <w:rPr>
          <w:rFonts w:ascii="Tahoma" w:hAnsi="Tahoma" w:cs="Tahoma"/>
          <w:sz w:val="24"/>
          <w:szCs w:val="24"/>
        </w:rPr>
        <w:lastRenderedPageBreak/>
        <w:t xml:space="preserve">je primat interesu da se informacije objavljuju u odnosu na suprotni interes, da se informacije, zbog bilo kog razloga uključujući i eventualnu štetu po nosioce tog interesa, izuzmu od objavljivanja. Odredba člana 14 Zakona o slobodnom pristupu informacijama na koju se ovaj organ poziva propisuje da organ vlasti može ograničiti pristup informaciji ili dijelu informacije ako je informacija poslovna ili poreska tajna. Dakle, navedenom odredbom se propisuje </w:t>
      </w:r>
      <w:r w:rsidR="001647EC" w:rsidRPr="001647EC">
        <w:rPr>
          <w:rStyle w:val="BodyText1"/>
          <w:rFonts w:ascii="Tahoma" w:eastAsiaTheme="minorEastAsia" w:hAnsi="Tahoma" w:cs="Tahoma"/>
          <w:sz w:val="24"/>
          <w:szCs w:val="24"/>
          <w:u w:val="none"/>
        </w:rPr>
        <w:t>ograničavanje pristupa informaciji</w:t>
      </w:r>
      <w:r w:rsidR="001647EC" w:rsidRPr="001647EC">
        <w:rPr>
          <w:rFonts w:ascii="Tahoma" w:hAnsi="Tahoma" w:cs="Tahoma"/>
          <w:sz w:val="24"/>
          <w:szCs w:val="24"/>
        </w:rPr>
        <w:t xml:space="preserve"> ili dijelu informacije, čijim objavljivanjem se ugrožava određeni interes, ali ne i zabrana pristupa informaciji u cjelosti, međutim, Poreska uprava je zabranila pristup kompletnoj traženoj informaciji. </w:t>
      </w:r>
      <w:r w:rsidR="00776BD2">
        <w:rPr>
          <w:rFonts w:ascii="Tahoma" w:hAnsi="Tahoma" w:cs="Tahoma"/>
          <w:sz w:val="24"/>
          <w:szCs w:val="24"/>
        </w:rPr>
        <w:t>Č</w:t>
      </w:r>
      <w:r w:rsidR="001647EC" w:rsidRPr="001647EC">
        <w:rPr>
          <w:rFonts w:ascii="Tahoma" w:hAnsi="Tahoma" w:cs="Tahoma"/>
          <w:sz w:val="24"/>
          <w:szCs w:val="24"/>
        </w:rPr>
        <w:t>lana 16 Zakona</w:t>
      </w:r>
      <w:r w:rsidR="00776BD2">
        <w:rPr>
          <w:rFonts w:ascii="Tahoma" w:hAnsi="Tahoma" w:cs="Tahoma"/>
          <w:sz w:val="24"/>
          <w:szCs w:val="24"/>
        </w:rPr>
        <w:t xml:space="preserve"> o slobodnom pristupu informacijama</w:t>
      </w:r>
      <w:r w:rsidR="001647EC" w:rsidRPr="001647EC">
        <w:rPr>
          <w:rFonts w:ascii="Tahoma" w:hAnsi="Tahoma" w:cs="Tahoma"/>
          <w:sz w:val="24"/>
          <w:szCs w:val="24"/>
        </w:rPr>
        <w:t xml:space="preserve">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Žalilac u žalbi</w:t>
      </w:r>
      <w:r w:rsidR="00776BD2">
        <w:rPr>
          <w:rFonts w:ascii="Tahoma" w:hAnsi="Tahoma" w:cs="Tahoma"/>
          <w:sz w:val="24"/>
          <w:szCs w:val="24"/>
        </w:rPr>
        <w:t xml:space="preserve"> u bitnom </w:t>
      </w:r>
      <w:r w:rsidR="001647EC" w:rsidRPr="001647EC">
        <w:rPr>
          <w:rFonts w:ascii="Tahoma" w:hAnsi="Tahoma" w:cs="Tahoma"/>
          <w:sz w:val="24"/>
          <w:szCs w:val="24"/>
        </w:rPr>
        <w:t xml:space="preserve">navodi da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Shodno tome,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obaveza pojedinih privrednih subjekata koje se tiču plaćanja poreza, a posebno bi se povjerenje građana poljuljalo saznanjem da ista uopšte </w:t>
      </w:r>
      <w:r w:rsidR="001647EC" w:rsidRPr="001647EC">
        <w:rPr>
          <w:rStyle w:val="BodyText1"/>
          <w:rFonts w:ascii="Tahoma" w:eastAsiaTheme="minorEastAsia" w:hAnsi="Tahoma" w:cs="Tahoma"/>
          <w:sz w:val="24"/>
          <w:szCs w:val="24"/>
          <w:u w:val="none"/>
        </w:rPr>
        <w:t>ne naplaćuje</w:t>
      </w:r>
      <w:r w:rsidR="001647EC" w:rsidRPr="001647EC">
        <w:rPr>
          <w:rFonts w:ascii="Tahoma" w:hAnsi="Tahoma" w:cs="Tahoma"/>
          <w:sz w:val="24"/>
          <w:szCs w:val="24"/>
        </w:rPr>
        <w:t xml:space="preserve"> poreze od strane velikih dužnika. Stoga, osporeno rješenje i pozivanje na odredbe Zakona o poreskoj administraciji, u tom slučaju, predstavljaju izgovor Poreske uprave da sakrije podatke koji upućuju na nesavjesno i nezakonito poslovanje. Žalilac navodi da se neutemeljenost tvrdnje da bi objelodanjivanje ove informacije predstavljalo kršenje pozitivnih propisa najbolje oslikava činjenica da Poreska uprava na svom sajtu objavljuje liste najvećih poreskih dužnika, te na linku istog sajta u dijelu rubrike - "na sva zvona siva zona utvrđene nepravilnosti i izrečene kazne" objavljuje </w:t>
      </w:r>
      <w:r w:rsidR="001647EC" w:rsidRPr="001647EC">
        <w:rPr>
          <w:rStyle w:val="BodyText1"/>
          <w:rFonts w:ascii="Tahoma" w:eastAsiaTheme="minorEastAsia" w:hAnsi="Tahoma" w:cs="Tahoma"/>
          <w:sz w:val="24"/>
          <w:szCs w:val="24"/>
          <w:u w:val="none"/>
        </w:rPr>
        <w:t>Spisak obavljenih inspekcijskih kontrola</w:t>
      </w:r>
      <w:r w:rsidR="001647EC" w:rsidRPr="001647EC">
        <w:rPr>
          <w:rFonts w:ascii="Tahoma" w:hAnsi="Tahoma" w:cs="Tahoma"/>
          <w:sz w:val="24"/>
          <w:szCs w:val="24"/>
        </w:rPr>
        <w:t xml:space="preserve"> koje su izvršili inspektori Poreske uprave, Uprave carina i Uprave za inspekcijske poslove, sa utvrđenim nepravilnostima i izrečenim mjerama, kako u slučaju konkretnog privrednog društva, tako i u ostalim slučajevima u kojima je vršena inspekcijska kontrola. Posebno je nerazumljivo rješenje jer je predmet zahtjeva zapisnik o izvršenom inspekcijskom nadzoru kod navedenog poreskog obveznika, za koji nema osnova da bude sakriven od javnosti, već naprotiv postoji preovlađujući interes </w:t>
      </w:r>
      <w:r w:rsidR="001647EC" w:rsidRPr="001647EC">
        <w:rPr>
          <w:rFonts w:ascii="Tahoma" w:hAnsi="Tahoma" w:cs="Tahoma"/>
          <w:sz w:val="24"/>
          <w:szCs w:val="24"/>
        </w:rPr>
        <w:lastRenderedPageBreak/>
        <w:t xml:space="preserve">javnosti da bude upoznata sa istim. Osim toga, vodičem za slobodan pristup informacijama ovog organa propisano je da Sektor za praćenje sprovođenja poreskih propisa, inspekcijski nadzor i upravni postupak Poreske uprave posjeduje između ostalog i Zapisnik o izvršenom inspekcijskom nadzoru, a što znači da je isti na taj način predviđen kap informacija za koju postoji obaveza objelodanjivanja i nema osnova za prikrivanje iste. Odredba člana </w:t>
      </w:r>
      <w:r w:rsidR="001647EC" w:rsidRPr="001647EC">
        <w:rPr>
          <w:rFonts w:ascii="Tahoma" w:hAnsi="Tahoma" w:cs="Tahoma"/>
          <w:sz w:val="24"/>
          <w:szCs w:val="24"/>
          <w:lang w:val="en-US"/>
        </w:rPr>
        <w:t xml:space="preserve">30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3 </w:t>
      </w:r>
      <w:r w:rsidR="001647EC" w:rsidRPr="001647EC">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w:t>
      </w:r>
      <w:r w:rsidR="001647EC" w:rsidRPr="001647EC">
        <w:rPr>
          <w:rFonts w:ascii="Tahoma" w:hAnsi="Tahoma" w:cs="Tahoma"/>
          <w:sz w:val="24"/>
          <w:szCs w:val="24"/>
          <w:lang w:val="en-US"/>
        </w:rPr>
        <w:t xml:space="preserve">203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prema navodima žalioca, osporeno rješenje nerazumljivo i nezakonito, čime je zahvaćeno bitnom povredom pravila postupka iz člana </w:t>
      </w:r>
      <w:r w:rsidR="001647EC" w:rsidRPr="001647EC">
        <w:rPr>
          <w:rFonts w:ascii="Tahoma" w:hAnsi="Tahoma" w:cs="Tahoma"/>
          <w:sz w:val="24"/>
          <w:szCs w:val="24"/>
          <w:lang w:val="en-US"/>
        </w:rPr>
        <w:t xml:space="preserve">226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tačka </w:t>
      </w:r>
      <w:r w:rsidR="001647EC" w:rsidRPr="001647EC">
        <w:rPr>
          <w:rFonts w:ascii="Tahoma" w:hAnsi="Tahoma" w:cs="Tahoma"/>
          <w:sz w:val="24"/>
          <w:szCs w:val="24"/>
          <w:lang w:val="en-US"/>
        </w:rPr>
        <w:t xml:space="preserve">7 </w:t>
      </w:r>
      <w:r w:rsidR="001647EC" w:rsidRPr="001647EC">
        <w:rPr>
          <w:rFonts w:ascii="Tahoma" w:hAnsi="Tahoma" w:cs="Tahoma"/>
          <w:sz w:val="24"/>
          <w:szCs w:val="24"/>
        </w:rPr>
        <w:t xml:space="preserve">Zakona o opštem upravnom postupku, jer nedostatak valjanog obrazloženja onemogućava uopšte utvrđivanje zakonitosti i pravilnosti rješenja. Podnosilac žalbe predlaže da Savjet Agencije za zaštitu ličnih podataka i slobodan pristup informacijama poništi rješenje Poreske uprave broj: </w:t>
      </w:r>
      <w:r w:rsidR="00E67F9F" w:rsidRPr="00E67F9F">
        <w:rPr>
          <w:rFonts w:ascii="Tahoma" w:hAnsi="Tahoma" w:cs="Tahoma"/>
          <w:sz w:val="24"/>
          <w:szCs w:val="24"/>
          <w:lang w:val="en-US"/>
        </w:rPr>
        <w:t xml:space="preserve">br. </w:t>
      </w:r>
      <w:r w:rsidR="00976828" w:rsidRPr="00976828">
        <w:rPr>
          <w:rFonts w:ascii="Tahoma" w:hAnsi="Tahoma" w:cs="Tahoma"/>
          <w:sz w:val="24"/>
          <w:szCs w:val="24"/>
          <w:lang w:val="en-US"/>
        </w:rPr>
        <w:t xml:space="preserve">03/1-9589/2-17 </w:t>
      </w:r>
      <w:proofErr w:type="spellStart"/>
      <w:proofErr w:type="gramStart"/>
      <w:r w:rsidR="00976828" w:rsidRPr="00976828">
        <w:rPr>
          <w:rFonts w:ascii="Tahoma" w:hAnsi="Tahoma" w:cs="Tahoma"/>
          <w:sz w:val="24"/>
          <w:szCs w:val="24"/>
          <w:lang w:val="en-US"/>
        </w:rPr>
        <w:t>od</w:t>
      </w:r>
      <w:proofErr w:type="spellEnd"/>
      <w:proofErr w:type="gramEnd"/>
      <w:r w:rsidR="00976828" w:rsidRPr="00976828">
        <w:rPr>
          <w:rFonts w:ascii="Tahoma" w:hAnsi="Tahoma" w:cs="Tahoma"/>
          <w:sz w:val="24"/>
          <w:szCs w:val="24"/>
          <w:lang w:val="en-US"/>
        </w:rPr>
        <w:t xml:space="preserve"> 12.06.2017.godine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w:t>
      </w:r>
      <w:r w:rsidR="00CC1947">
        <w:rPr>
          <w:rFonts w:ascii="Tahoma" w:hAnsi="Tahoma" w:cs="Tahoma"/>
          <w:sz w:val="24"/>
          <w:szCs w:val="24"/>
        </w:rPr>
        <w:t xml:space="preserve">obodnom pristupu informacijama </w:t>
      </w:r>
      <w:r w:rsidR="00552696">
        <w:rPr>
          <w:rFonts w:ascii="Tahoma" w:hAnsi="Tahoma" w:cs="Tahoma"/>
          <w:sz w:val="24"/>
          <w:szCs w:val="24"/>
        </w:rPr>
        <w:t>je propisano da r</w:t>
      </w:r>
      <w:r w:rsidR="00552696" w:rsidRPr="00552696">
        <w:rPr>
          <w:rFonts w:ascii="Tahoma" w:hAnsi="Tahoma" w:cs="Tahoma"/>
          <w:sz w:val="24"/>
          <w:szCs w:val="24"/>
        </w:rPr>
        <w:t xml:space="preserve">ješenje kojim se odbija zahtjev za pristup informaciji, odnosno ponovnu upotrebu informacija sadrži detaljno obrazloženje razloga zbog kojih se ne dozvoljava pristup </w:t>
      </w:r>
      <w:r w:rsidR="00552696" w:rsidRPr="00552696">
        <w:rPr>
          <w:rFonts w:ascii="Tahoma" w:hAnsi="Tahoma" w:cs="Tahoma"/>
          <w:sz w:val="24"/>
          <w:szCs w:val="24"/>
        </w:rPr>
        <w:lastRenderedPageBreak/>
        <w:t>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w:t>
      </w:r>
      <w:r w:rsidR="001647EC">
        <w:rPr>
          <w:rFonts w:ascii="Tahoma" w:hAnsi="Tahoma" w:cs="Tahoma"/>
          <w:sz w:val="24"/>
          <w:szCs w:val="24"/>
        </w:rPr>
        <w:t xml:space="preserve">nom pristupu informacijama </w:t>
      </w:r>
      <w:r w:rsidR="001647EC" w:rsidRPr="00704558">
        <w:rPr>
          <w:rFonts w:ascii="Tahoma" w:hAnsi="Tahoma" w:cs="Tahoma"/>
          <w:sz w:val="24"/>
          <w:szCs w:val="24"/>
        </w:rPr>
        <w:t>jer j</w:t>
      </w:r>
      <w:r w:rsidR="00BF24C2" w:rsidRPr="00704558">
        <w:rPr>
          <w:rFonts w:ascii="Tahoma" w:hAnsi="Tahoma" w:cs="Tahoma"/>
          <w:sz w:val="24"/>
          <w:szCs w:val="24"/>
        </w:rPr>
        <w:t xml:space="preserve">e jasno </w:t>
      </w:r>
      <w:r w:rsidR="001647EC" w:rsidRPr="00704558">
        <w:rPr>
          <w:rFonts w:ascii="Tahoma" w:hAnsi="Tahoma" w:cs="Tahoma"/>
          <w:sz w:val="24"/>
          <w:szCs w:val="24"/>
        </w:rPr>
        <w:t>utvrdio da se tražene informacije nalaze u njegovom posjedu ali da se zahtjevu ne može udovoljiti iz razloga što je riječ o informacijama koje predstavljaju poresku tajnu, shodno članu 16 stav 1 Zakon</w:t>
      </w:r>
      <w:r w:rsidR="00404D1E">
        <w:rPr>
          <w:rFonts w:ascii="Tahoma" w:hAnsi="Tahoma" w:cs="Tahoma"/>
          <w:sz w:val="24"/>
          <w:szCs w:val="24"/>
        </w:rPr>
        <w:t>a o poreskoj administraciji ("Sl.list RCG", br. 65/01, 20/11. 28/12..</w:t>
      </w:r>
      <w:r w:rsidR="001647EC" w:rsidRPr="00704558">
        <w:rPr>
          <w:rFonts w:ascii="Tahoma" w:hAnsi="Tahoma" w:cs="Tahoma"/>
          <w:sz w:val="24"/>
          <w:szCs w:val="24"/>
        </w:rPr>
        <w:t xml:space="preserve">08/15), </w:t>
      </w:r>
      <w:r w:rsidR="00404D1E">
        <w:rPr>
          <w:rFonts w:ascii="Tahoma" w:hAnsi="Tahoma" w:cs="Tahoma"/>
          <w:sz w:val="24"/>
          <w:szCs w:val="24"/>
        </w:rPr>
        <w:t>koju</w:t>
      </w:r>
      <w:r w:rsidR="00704558" w:rsidRPr="00704558">
        <w:rPr>
          <w:rFonts w:ascii="Tahoma" w:hAnsi="Tahoma" w:cs="Tahoma"/>
          <w:sz w:val="24"/>
          <w:szCs w:val="24"/>
        </w:rPr>
        <w:t xml:space="preserve"> predstavlja</w:t>
      </w:r>
      <w:r w:rsidR="001647EC" w:rsidRPr="00704558">
        <w:rPr>
          <w:rFonts w:ascii="Tahoma" w:hAnsi="Tahoma" w:cs="Tahoma"/>
          <w:sz w:val="24"/>
          <w:szCs w:val="24"/>
        </w:rPr>
        <w:t xml:space="preserv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w:t>
      </w:r>
      <w:r w:rsidR="001B5EDB">
        <w:rPr>
          <w:rFonts w:ascii="Tahoma" w:hAnsi="Tahoma" w:cs="Tahoma"/>
          <w:sz w:val="24"/>
          <w:szCs w:val="24"/>
        </w:rPr>
        <w:t xml:space="preserve">Članom </w:t>
      </w:r>
      <w:r w:rsidR="001B5EDB" w:rsidRPr="001B5EDB">
        <w:rPr>
          <w:rFonts w:ascii="Tahoma" w:hAnsi="Tahoma" w:cs="Tahoma"/>
          <w:sz w:val="24"/>
          <w:szCs w:val="24"/>
        </w:rPr>
        <w:t xml:space="preserve">16 stav </w:t>
      </w:r>
      <w:r w:rsidR="001B5EDB">
        <w:rPr>
          <w:rFonts w:ascii="Tahoma" w:hAnsi="Tahoma" w:cs="Tahoma"/>
          <w:sz w:val="24"/>
          <w:szCs w:val="24"/>
        </w:rPr>
        <w:t>2</w:t>
      </w:r>
      <w:r w:rsidR="001B5EDB" w:rsidRPr="001B5EDB">
        <w:rPr>
          <w:rFonts w:ascii="Tahoma" w:hAnsi="Tahoma" w:cs="Tahoma"/>
          <w:sz w:val="24"/>
          <w:szCs w:val="24"/>
        </w:rPr>
        <w:t xml:space="preserve"> Zakona o poreskoj administraciji</w:t>
      </w:r>
      <w:r w:rsidR="002A1BAE">
        <w:rPr>
          <w:rFonts w:ascii="Tahoma" w:hAnsi="Tahoma" w:cs="Tahoma"/>
          <w:sz w:val="24"/>
          <w:szCs w:val="24"/>
        </w:rPr>
        <w:t xml:space="preserve"> pro</w:t>
      </w:r>
      <w:r w:rsidR="001647EC" w:rsidRPr="00704558">
        <w:rPr>
          <w:rFonts w:ascii="Tahoma" w:hAnsi="Tahoma" w:cs="Tahoma"/>
          <w:sz w:val="24"/>
          <w:szCs w:val="24"/>
        </w:rPr>
        <w:t>pisano je da se podaci koji predstavljaju poresku tajnu mogu učiniti dostupnim drugom državnom organu, na zahtjev tog organa i u skladu sa zakonom</w:t>
      </w:r>
      <w:r w:rsidR="00567C61" w:rsidRPr="00704558">
        <w:rPr>
          <w:rFonts w:ascii="Tahoma" w:hAnsi="Tahoma" w:cs="Tahoma"/>
          <w:sz w:val="24"/>
          <w:szCs w:val="24"/>
        </w:rPr>
        <w:t>.</w:t>
      </w:r>
      <w:r w:rsidR="00B70431">
        <w:rPr>
          <w:rFonts w:ascii="Tahoma" w:hAnsi="Tahoma" w:cs="Tahoma"/>
          <w:sz w:val="24"/>
          <w:szCs w:val="24"/>
        </w:rPr>
        <w:t xml:space="preserve"> </w:t>
      </w:r>
      <w:r w:rsidR="0031584B">
        <w:rPr>
          <w:rFonts w:ascii="Tahoma" w:hAnsi="Tahoma" w:cs="Tahoma"/>
          <w:sz w:val="24"/>
          <w:szCs w:val="24"/>
        </w:rPr>
        <w:t>Poreska uprava</w:t>
      </w:r>
      <w:r w:rsidR="00DA20D1">
        <w:rPr>
          <w:rFonts w:ascii="Tahoma" w:hAnsi="Tahoma" w:cs="Tahoma"/>
          <w:sz w:val="24"/>
          <w:szCs w:val="24"/>
        </w:rPr>
        <w:t xml:space="preserve"> je</w:t>
      </w:r>
      <w:r w:rsidR="00704558">
        <w:rPr>
          <w:rFonts w:ascii="Tahoma" w:hAnsi="Tahoma" w:cs="Tahoma"/>
          <w:sz w:val="24"/>
          <w:szCs w:val="24"/>
        </w:rPr>
        <w:t xml:space="preserve"> </w:t>
      </w:r>
      <w:r w:rsidR="00567C61" w:rsidRPr="00567C61">
        <w:rPr>
          <w:rFonts w:ascii="Tahoma" w:hAnsi="Tahoma" w:cs="Tahoma"/>
          <w:sz w:val="24"/>
          <w:szCs w:val="24"/>
        </w:rPr>
        <w:t xml:space="preserve">sprovela test štetnosti objavljivanja ove informacije, u skladu sa odredbama člana 16 stav 1 Zakona o slobodnom pristupu i utvrdila da bi objelodanjivanje ove informacije predstavljalo kršenje pozitivnih propisa - konkretno </w:t>
      </w:r>
      <w:r w:rsidR="00704558">
        <w:rPr>
          <w:rFonts w:ascii="Tahoma" w:hAnsi="Tahoma" w:cs="Tahoma"/>
          <w:sz w:val="24"/>
          <w:szCs w:val="24"/>
        </w:rPr>
        <w:t>Zakona o poreskoj administraciji</w:t>
      </w:r>
      <w:r w:rsidR="00995372">
        <w:rPr>
          <w:rFonts w:ascii="Tahoma" w:hAnsi="Tahoma" w:cs="Tahoma"/>
          <w:sz w:val="24"/>
          <w:szCs w:val="24"/>
        </w:rPr>
        <w:t xml:space="preserve"> </w:t>
      </w:r>
      <w:r w:rsidR="00995372" w:rsidRPr="00995372">
        <w:rPr>
          <w:rFonts w:ascii="Tahoma" w:hAnsi="Tahoma" w:cs="Tahoma"/>
          <w:sz w:val="24"/>
          <w:szCs w:val="24"/>
        </w:rPr>
        <w:t>kojim se uređuju prava i obaveze poreskog organa i poreskih obveznika u postupku utvrđivanja, naplate i kontrole poreza i drugih dažbina i istim je propisana ob</w:t>
      </w:r>
      <w:r w:rsidR="00995372">
        <w:rPr>
          <w:rFonts w:ascii="Tahoma" w:hAnsi="Tahoma" w:cs="Tahoma"/>
          <w:sz w:val="24"/>
          <w:szCs w:val="24"/>
        </w:rPr>
        <w:t>a</w:t>
      </w:r>
      <w:r w:rsidR="00995372" w:rsidRPr="00995372">
        <w:rPr>
          <w:rFonts w:ascii="Tahoma" w:hAnsi="Tahoma" w:cs="Tahoma"/>
          <w:sz w:val="24"/>
          <w:szCs w:val="24"/>
        </w:rPr>
        <w:t>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567C61" w:rsidRPr="00567C61">
        <w:rPr>
          <w:rFonts w:ascii="Tahoma" w:hAnsi="Tahoma" w:cs="Tahoma"/>
          <w:sz w:val="24"/>
          <w:szCs w:val="24"/>
        </w:rPr>
        <w:t xml:space="preserve">. Kako se u konkretnom slučaju radi o </w:t>
      </w:r>
      <w:r w:rsidR="00704558">
        <w:rPr>
          <w:rFonts w:ascii="Tahoma" w:hAnsi="Tahoma" w:cs="Tahoma"/>
          <w:sz w:val="24"/>
          <w:szCs w:val="24"/>
        </w:rPr>
        <w:t>poreskoj</w:t>
      </w:r>
      <w:r w:rsidR="00567C61" w:rsidRPr="00567C61">
        <w:rPr>
          <w:rFonts w:ascii="Tahoma" w:hAnsi="Tahoma" w:cs="Tahoma"/>
          <w:sz w:val="24"/>
          <w:szCs w:val="24"/>
        </w:rPr>
        <w:t xml:space="preserve"> tajni, pri čemu,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3E4B23" w:rsidRDefault="003E4B23" w:rsidP="005A768B">
      <w:pPr>
        <w:jc w:val="both"/>
        <w:rPr>
          <w:rFonts w:ascii="Tahoma" w:hAnsi="Tahoma" w:cs="Tahoma"/>
          <w:color w:val="000000"/>
          <w:sz w:val="24"/>
          <w:szCs w:val="24"/>
        </w:rPr>
      </w:pPr>
    </w:p>
    <w:p w:rsidR="003E4B23" w:rsidRDefault="003E4B23" w:rsidP="005A768B">
      <w:pPr>
        <w:jc w:val="both"/>
        <w:rPr>
          <w:rFonts w:ascii="Tahoma" w:hAnsi="Tahoma" w:cs="Tahoma"/>
          <w:color w:val="000000"/>
          <w:sz w:val="24"/>
          <w:szCs w:val="24"/>
        </w:rPr>
      </w:pPr>
    </w:p>
    <w:p w:rsidR="00483341" w:rsidRPr="002006EC" w:rsidRDefault="00483341" w:rsidP="005A768B">
      <w:pPr>
        <w:jc w:val="both"/>
        <w:rPr>
          <w:rFonts w:ascii="Tahoma" w:hAnsi="Tahoma" w:cs="Tahoma"/>
          <w:color w:val="000000"/>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645" w:rsidRDefault="00AB3645" w:rsidP="004C7646">
      <w:pPr>
        <w:spacing w:after="0" w:line="240" w:lineRule="auto"/>
      </w:pPr>
      <w:r>
        <w:separator/>
      </w:r>
    </w:p>
  </w:endnote>
  <w:endnote w:type="continuationSeparator" w:id="0">
    <w:p w:rsidR="00AB3645" w:rsidRDefault="00AB364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B364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B3645" w:rsidP="00EA2993">
    <w:pPr>
      <w:pStyle w:val="Footer"/>
      <w:rPr>
        <w:b/>
        <w:sz w:val="16"/>
        <w:szCs w:val="16"/>
      </w:rPr>
    </w:pPr>
  </w:p>
  <w:p w:rsidR="0090753B" w:rsidRPr="00E62A90" w:rsidRDefault="00AB3645" w:rsidP="00E62A90">
    <w:pPr>
      <w:pStyle w:val="Footer"/>
      <w:shd w:val="clear" w:color="auto" w:fill="FF0000"/>
      <w:jc w:val="center"/>
      <w:rPr>
        <w:b/>
        <w:color w:val="FF0000"/>
        <w:sz w:val="2"/>
        <w:szCs w:val="2"/>
      </w:rPr>
    </w:pPr>
  </w:p>
  <w:p w:rsidR="0090753B" w:rsidRDefault="00AB364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B3645" w:rsidP="00E03674">
    <w:pPr>
      <w:pStyle w:val="Footer"/>
      <w:jc w:val="center"/>
      <w:rPr>
        <w:sz w:val="16"/>
        <w:szCs w:val="16"/>
      </w:rPr>
    </w:pPr>
  </w:p>
  <w:p w:rsidR="0090753B" w:rsidRPr="002B6C39" w:rsidRDefault="00AB3645">
    <w:pPr>
      <w:pStyle w:val="Footer"/>
    </w:pPr>
  </w:p>
  <w:p w:rsidR="0090753B" w:rsidRDefault="00AB364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B36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645" w:rsidRDefault="00AB3645" w:rsidP="004C7646">
      <w:pPr>
        <w:spacing w:after="0" w:line="240" w:lineRule="auto"/>
      </w:pPr>
      <w:r>
        <w:separator/>
      </w:r>
    </w:p>
  </w:footnote>
  <w:footnote w:type="continuationSeparator" w:id="0">
    <w:p w:rsidR="00AB3645" w:rsidRDefault="00AB364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B36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B36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B36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25BF6"/>
    <w:rsid w:val="00030B00"/>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66DC"/>
    <w:rsid w:val="000767D0"/>
    <w:rsid w:val="00081206"/>
    <w:rsid w:val="00084A51"/>
    <w:rsid w:val="0008535D"/>
    <w:rsid w:val="0008704E"/>
    <w:rsid w:val="000872E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13DE"/>
    <w:rsid w:val="000E18B3"/>
    <w:rsid w:val="000E18C9"/>
    <w:rsid w:val="000E3D80"/>
    <w:rsid w:val="000E4C35"/>
    <w:rsid w:val="000E6AF7"/>
    <w:rsid w:val="000E6C20"/>
    <w:rsid w:val="000F110D"/>
    <w:rsid w:val="000F394D"/>
    <w:rsid w:val="000F3EA2"/>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E095B"/>
    <w:rsid w:val="001E2D6C"/>
    <w:rsid w:val="001E3DB5"/>
    <w:rsid w:val="001E6F90"/>
    <w:rsid w:val="001E749F"/>
    <w:rsid w:val="001E786F"/>
    <w:rsid w:val="001F04B5"/>
    <w:rsid w:val="001F1250"/>
    <w:rsid w:val="001F4142"/>
    <w:rsid w:val="001F4D93"/>
    <w:rsid w:val="002006EC"/>
    <w:rsid w:val="00200A32"/>
    <w:rsid w:val="00201E41"/>
    <w:rsid w:val="00203905"/>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30E15"/>
    <w:rsid w:val="00333209"/>
    <w:rsid w:val="003336F3"/>
    <w:rsid w:val="0033381F"/>
    <w:rsid w:val="00341253"/>
    <w:rsid w:val="00343830"/>
    <w:rsid w:val="00346036"/>
    <w:rsid w:val="00350F82"/>
    <w:rsid w:val="00352739"/>
    <w:rsid w:val="0035478D"/>
    <w:rsid w:val="00357FF7"/>
    <w:rsid w:val="00360907"/>
    <w:rsid w:val="00361543"/>
    <w:rsid w:val="00361C6E"/>
    <w:rsid w:val="00364134"/>
    <w:rsid w:val="00364238"/>
    <w:rsid w:val="00365DE4"/>
    <w:rsid w:val="00371BB2"/>
    <w:rsid w:val="00372581"/>
    <w:rsid w:val="003737EA"/>
    <w:rsid w:val="00374136"/>
    <w:rsid w:val="00374BAD"/>
    <w:rsid w:val="0038114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3023F"/>
    <w:rsid w:val="00431E29"/>
    <w:rsid w:val="0043382F"/>
    <w:rsid w:val="00435ABB"/>
    <w:rsid w:val="0043656C"/>
    <w:rsid w:val="0043694C"/>
    <w:rsid w:val="00437BAE"/>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6684"/>
    <w:rsid w:val="00467E7C"/>
    <w:rsid w:val="00470396"/>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6BEA"/>
    <w:rsid w:val="00531D13"/>
    <w:rsid w:val="00532A23"/>
    <w:rsid w:val="0054201D"/>
    <w:rsid w:val="00552696"/>
    <w:rsid w:val="005618F0"/>
    <w:rsid w:val="00561FBE"/>
    <w:rsid w:val="005628E8"/>
    <w:rsid w:val="00565066"/>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2FC"/>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61C5"/>
    <w:rsid w:val="0065714A"/>
    <w:rsid w:val="00657842"/>
    <w:rsid w:val="00663C95"/>
    <w:rsid w:val="00664B03"/>
    <w:rsid w:val="006663F9"/>
    <w:rsid w:val="00670EF3"/>
    <w:rsid w:val="00677CBE"/>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B3808"/>
    <w:rsid w:val="007B4FD9"/>
    <w:rsid w:val="007B5ED0"/>
    <w:rsid w:val="007B6C0F"/>
    <w:rsid w:val="007C26EA"/>
    <w:rsid w:val="007C3B2C"/>
    <w:rsid w:val="007C4386"/>
    <w:rsid w:val="007C5A3A"/>
    <w:rsid w:val="007D1042"/>
    <w:rsid w:val="007D1797"/>
    <w:rsid w:val="007D2D9B"/>
    <w:rsid w:val="007D6AD4"/>
    <w:rsid w:val="007F0791"/>
    <w:rsid w:val="007F0A86"/>
    <w:rsid w:val="007F339D"/>
    <w:rsid w:val="007F4D9A"/>
    <w:rsid w:val="007F4D9B"/>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44D2"/>
    <w:rsid w:val="009557FF"/>
    <w:rsid w:val="00956140"/>
    <w:rsid w:val="00956BBA"/>
    <w:rsid w:val="00956D8D"/>
    <w:rsid w:val="009574B3"/>
    <w:rsid w:val="00957AF3"/>
    <w:rsid w:val="009612FE"/>
    <w:rsid w:val="00962F57"/>
    <w:rsid w:val="00966700"/>
    <w:rsid w:val="00970149"/>
    <w:rsid w:val="00972B54"/>
    <w:rsid w:val="009762CA"/>
    <w:rsid w:val="00976828"/>
    <w:rsid w:val="0098009B"/>
    <w:rsid w:val="00982441"/>
    <w:rsid w:val="0098658F"/>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2EED"/>
    <w:rsid w:val="009C586B"/>
    <w:rsid w:val="009D0038"/>
    <w:rsid w:val="009D1849"/>
    <w:rsid w:val="009D28CD"/>
    <w:rsid w:val="009D6F85"/>
    <w:rsid w:val="009D7B39"/>
    <w:rsid w:val="009E05D5"/>
    <w:rsid w:val="009E2339"/>
    <w:rsid w:val="009E5948"/>
    <w:rsid w:val="009E5AB5"/>
    <w:rsid w:val="009E771F"/>
    <w:rsid w:val="009F0863"/>
    <w:rsid w:val="009F2474"/>
    <w:rsid w:val="009F4CAE"/>
    <w:rsid w:val="009F4E05"/>
    <w:rsid w:val="00A0224A"/>
    <w:rsid w:val="00A02FA1"/>
    <w:rsid w:val="00A04582"/>
    <w:rsid w:val="00A05729"/>
    <w:rsid w:val="00A06ECC"/>
    <w:rsid w:val="00A10F03"/>
    <w:rsid w:val="00A1139E"/>
    <w:rsid w:val="00A127D0"/>
    <w:rsid w:val="00A13DF3"/>
    <w:rsid w:val="00A20835"/>
    <w:rsid w:val="00A21602"/>
    <w:rsid w:val="00A2166C"/>
    <w:rsid w:val="00A218EE"/>
    <w:rsid w:val="00A219DB"/>
    <w:rsid w:val="00A22C3D"/>
    <w:rsid w:val="00A274AB"/>
    <w:rsid w:val="00A27946"/>
    <w:rsid w:val="00A27D02"/>
    <w:rsid w:val="00A27EB9"/>
    <w:rsid w:val="00A3027A"/>
    <w:rsid w:val="00A34894"/>
    <w:rsid w:val="00A41AAB"/>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3645"/>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52630"/>
    <w:rsid w:val="00B56ABB"/>
    <w:rsid w:val="00B60216"/>
    <w:rsid w:val="00B61C7D"/>
    <w:rsid w:val="00B623B2"/>
    <w:rsid w:val="00B642A5"/>
    <w:rsid w:val="00B70431"/>
    <w:rsid w:val="00B7160C"/>
    <w:rsid w:val="00B762EB"/>
    <w:rsid w:val="00B77884"/>
    <w:rsid w:val="00B8115A"/>
    <w:rsid w:val="00B81762"/>
    <w:rsid w:val="00B82BF0"/>
    <w:rsid w:val="00B852AD"/>
    <w:rsid w:val="00B95DB7"/>
    <w:rsid w:val="00B95F2A"/>
    <w:rsid w:val="00BA13AB"/>
    <w:rsid w:val="00BA6177"/>
    <w:rsid w:val="00BA76C6"/>
    <w:rsid w:val="00BA7788"/>
    <w:rsid w:val="00BA798A"/>
    <w:rsid w:val="00BA7C11"/>
    <w:rsid w:val="00BB1242"/>
    <w:rsid w:val="00BB219F"/>
    <w:rsid w:val="00BB3CA7"/>
    <w:rsid w:val="00BB49EF"/>
    <w:rsid w:val="00BB4BA1"/>
    <w:rsid w:val="00BB70FD"/>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5375"/>
    <w:rsid w:val="00C608AA"/>
    <w:rsid w:val="00C619EB"/>
    <w:rsid w:val="00C61AA8"/>
    <w:rsid w:val="00C61BED"/>
    <w:rsid w:val="00C648A0"/>
    <w:rsid w:val="00C65F67"/>
    <w:rsid w:val="00C663F3"/>
    <w:rsid w:val="00C669EC"/>
    <w:rsid w:val="00C66E69"/>
    <w:rsid w:val="00C70CEA"/>
    <w:rsid w:val="00C717D4"/>
    <w:rsid w:val="00C741D1"/>
    <w:rsid w:val="00C74447"/>
    <w:rsid w:val="00C75221"/>
    <w:rsid w:val="00C807EA"/>
    <w:rsid w:val="00C82F50"/>
    <w:rsid w:val="00C851B4"/>
    <w:rsid w:val="00C93FF4"/>
    <w:rsid w:val="00C97804"/>
    <w:rsid w:val="00C97F83"/>
    <w:rsid w:val="00CA4D9A"/>
    <w:rsid w:val="00CA55D9"/>
    <w:rsid w:val="00CA7BB9"/>
    <w:rsid w:val="00CB11F6"/>
    <w:rsid w:val="00CB3E3B"/>
    <w:rsid w:val="00CB5F0D"/>
    <w:rsid w:val="00CC1947"/>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71B3D"/>
    <w:rsid w:val="00D73484"/>
    <w:rsid w:val="00D756D9"/>
    <w:rsid w:val="00D75AE1"/>
    <w:rsid w:val="00D76DCC"/>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26B"/>
    <w:rsid w:val="00EC3E33"/>
    <w:rsid w:val="00EC70EC"/>
    <w:rsid w:val="00ED0559"/>
    <w:rsid w:val="00ED2BA3"/>
    <w:rsid w:val="00EE1275"/>
    <w:rsid w:val="00EE395C"/>
    <w:rsid w:val="00EE7690"/>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22D67"/>
    <w:rsid w:val="00F2473F"/>
    <w:rsid w:val="00F27B7C"/>
    <w:rsid w:val="00F27C9E"/>
    <w:rsid w:val="00F32873"/>
    <w:rsid w:val="00F336B3"/>
    <w:rsid w:val="00F40D78"/>
    <w:rsid w:val="00F410A1"/>
    <w:rsid w:val="00F41AB7"/>
    <w:rsid w:val="00F436EF"/>
    <w:rsid w:val="00F4425A"/>
    <w:rsid w:val="00F47CF8"/>
    <w:rsid w:val="00F50A75"/>
    <w:rsid w:val="00F51A43"/>
    <w:rsid w:val="00F52BDB"/>
    <w:rsid w:val="00F5343A"/>
    <w:rsid w:val="00F55C71"/>
    <w:rsid w:val="00F5779F"/>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A5B40"/>
    <w:rsid w:val="00FA7751"/>
    <w:rsid w:val="00FB4852"/>
    <w:rsid w:val="00FB535C"/>
    <w:rsid w:val="00FB5A45"/>
    <w:rsid w:val="00FC25B4"/>
    <w:rsid w:val="00FC3015"/>
    <w:rsid w:val="00FC4438"/>
    <w:rsid w:val="00FC45B7"/>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C6BAD"/>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D30BFC-B8F4-4E21-AEA0-F4927D7B7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6</Pages>
  <Words>2147</Words>
  <Characters>12238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927</cp:revision>
  <cp:lastPrinted>2017-08-25T08:14:00Z</cp:lastPrinted>
  <dcterms:created xsi:type="dcterms:W3CDTF">2015-08-03T11:09:00Z</dcterms:created>
  <dcterms:modified xsi:type="dcterms:W3CDTF">2017-12-05T10:26:00Z</dcterms:modified>
</cp:coreProperties>
</file>