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AA7428">
        <w:rPr>
          <w:rFonts w:ascii="Tahoma" w:hAnsi="Tahoma" w:cs="Tahoma"/>
          <w:b/>
          <w:sz w:val="24"/>
          <w:szCs w:val="24"/>
        </w:rPr>
        <w:t>3114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055E57">
        <w:rPr>
          <w:rFonts w:ascii="Tahoma" w:hAnsi="Tahoma" w:cs="Tahoma"/>
          <w:b/>
          <w:sz w:val="24"/>
          <w:szCs w:val="24"/>
        </w:rPr>
        <w:t>10.0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055E57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B699B">
        <w:rPr>
          <w:rFonts w:ascii="Tahoma" w:hAnsi="Tahoma" w:cs="Tahoma"/>
          <w:sz w:val="24"/>
          <w:szCs w:val="24"/>
        </w:rPr>
        <w:t>10</w:t>
      </w:r>
      <w:r w:rsidR="00AA7428">
        <w:rPr>
          <w:rFonts w:ascii="Tahoma" w:hAnsi="Tahoma" w:cs="Tahoma"/>
          <w:sz w:val="24"/>
          <w:szCs w:val="24"/>
        </w:rPr>
        <w:t>0480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  <w:szCs w:val="24"/>
        </w:rPr>
        <w:t>30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AA7428">
        <w:rPr>
          <w:rFonts w:ascii="Tahoma" w:hAnsi="Tahoma" w:cs="Tahoma"/>
          <w:sz w:val="24"/>
          <w:szCs w:val="24"/>
        </w:rPr>
        <w:t xml:space="preserve"> poslova broj:UPI-007/16-4710/2 od 27.09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AA7428">
        <w:rPr>
          <w:rFonts w:ascii="Tahoma" w:hAnsi="Tahoma" w:cs="Tahoma"/>
          <w:sz w:val="24"/>
          <w:szCs w:val="24"/>
        </w:rPr>
        <w:t>4710/2 od 27.09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</w:t>
      </w:r>
      <w:r w:rsidR="00AA7428">
        <w:rPr>
          <w:rFonts w:ascii="Tahoma" w:hAnsi="Tahoma" w:cs="Tahoma"/>
          <w:sz w:val="24"/>
          <w:szCs w:val="24"/>
        </w:rPr>
        <w:t>0480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A7428">
        <w:rPr>
          <w:rFonts w:ascii="Tahoma" w:hAnsi="Tahoma" w:cs="Tahoma"/>
          <w:sz w:val="24"/>
          <w:szCs w:val="24"/>
        </w:rPr>
        <w:t>29</w:t>
      </w:r>
      <w:r w:rsidR="009263D3">
        <w:rPr>
          <w:rFonts w:ascii="Tahoma" w:hAnsi="Tahoma" w:cs="Tahoma"/>
          <w:sz w:val="24"/>
          <w:szCs w:val="24"/>
        </w:rPr>
        <w:t>.</w:t>
      </w:r>
      <w:r w:rsidR="00AA7428">
        <w:rPr>
          <w:rFonts w:ascii="Tahoma" w:hAnsi="Tahoma" w:cs="Tahoma"/>
          <w:sz w:val="24"/>
          <w:szCs w:val="24"/>
        </w:rPr>
        <w:t>09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AA7428">
        <w:rPr>
          <w:rFonts w:ascii="Tahoma" w:hAnsi="Tahoma" w:cs="Tahoma"/>
          <w:sz w:val="24"/>
        </w:rPr>
        <w:t>od 19/09/2016 do 25/09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A7428">
        <w:rPr>
          <w:rFonts w:ascii="Tahoma" w:hAnsi="Tahoma" w:cs="Tahoma"/>
          <w:sz w:val="24"/>
          <w:szCs w:val="24"/>
        </w:rPr>
        <w:t>03.10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 br.</w:t>
      </w:r>
      <w:r w:rsidR="00AA7428">
        <w:rPr>
          <w:rFonts w:ascii="Tahoma" w:hAnsi="Tahoma" w:cs="Tahoma"/>
          <w:sz w:val="24"/>
          <w:szCs w:val="24"/>
        </w:rPr>
        <w:t>UPI-007/16-4710</w:t>
      </w:r>
      <w:r w:rsidR="00A268A0">
        <w:rPr>
          <w:rFonts w:ascii="Tahoma" w:hAnsi="Tahoma" w:cs="Tahoma"/>
          <w:sz w:val="24"/>
          <w:szCs w:val="24"/>
        </w:rPr>
        <w:t>/2 od 27.09</w:t>
      </w:r>
      <w:r w:rsidR="00271D61">
        <w:rPr>
          <w:rFonts w:ascii="Tahoma" w:hAnsi="Tahoma" w:cs="Tahoma"/>
          <w:sz w:val="24"/>
          <w:szCs w:val="24"/>
        </w:rPr>
        <w:t>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</w:t>
      </w:r>
      <w:r w:rsidRPr="00D4255A">
        <w:rPr>
          <w:rFonts w:ascii="Tahoma" w:hAnsi="Tahoma" w:cs="Tahoma"/>
          <w:sz w:val="24"/>
          <w:szCs w:val="24"/>
        </w:rPr>
        <w:lastRenderedPageBreak/>
        <w:t>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sredstva u predizbornom periodu 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 xml:space="preserve">Ministarstva unutrašnjih poslova </w:t>
      </w:r>
      <w:r w:rsidR="00CE0B81">
        <w:rPr>
          <w:rFonts w:ascii="Tahoma" w:hAnsi="Tahoma" w:cs="Tahoma"/>
          <w:sz w:val="24"/>
          <w:szCs w:val="24"/>
        </w:rPr>
        <w:t>br.</w:t>
      </w:r>
      <w:r w:rsidR="00A268A0">
        <w:rPr>
          <w:rFonts w:ascii="Tahoma" w:hAnsi="Tahoma" w:cs="Tahoma"/>
          <w:sz w:val="24"/>
          <w:szCs w:val="24"/>
        </w:rPr>
        <w:t>UPI-007/16-4710/2 od 27.09</w:t>
      </w:r>
      <w:r w:rsidR="00CE0B81">
        <w:rPr>
          <w:rFonts w:ascii="Tahoma" w:hAnsi="Tahoma" w:cs="Tahoma"/>
          <w:sz w:val="24"/>
          <w:szCs w:val="24"/>
        </w:rPr>
        <w:t>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055E5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055E57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FF539D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16/100480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A268A0">
        <w:rPr>
          <w:rFonts w:ascii="Tahoma" w:hAnsi="Tahoma" w:cs="Tahoma"/>
          <w:sz w:val="24"/>
          <w:szCs w:val="24"/>
        </w:rPr>
        <w:t xml:space="preserve">  od 19/09/2016. do 26/09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55E57">
        <w:rPr>
          <w:rFonts w:ascii="Tahoma" w:hAnsi="Tahoma" w:cs="Tahoma"/>
          <w:sz w:val="24"/>
          <w:szCs w:val="24"/>
        </w:rPr>
        <w:t xml:space="preserve"> Savjet Agencije je nedvosmisleno utvrdio da se analitičke kartice u koje je imao uvid ne razlikuju od onih objavljenih na internet stranici prvostepenog organa, na linku:</w:t>
      </w:r>
      <w:r w:rsidR="00055E57" w:rsidRPr="00055E57">
        <w:t xml:space="preserve"> </w:t>
      </w:r>
      <w:hyperlink r:id="rId10" w:history="1">
        <w:r w:rsidR="00055E57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A268A0">
        <w:rPr>
          <w:rFonts w:ascii="Tahoma" w:hAnsi="Tahoma" w:cs="Tahoma"/>
          <w:sz w:val="24"/>
          <w:szCs w:val="24"/>
        </w:rPr>
        <w:t>4710/2 od 27.09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A268A0">
        <w:rPr>
          <w:rFonts w:ascii="Tahoma" w:hAnsi="Tahoma" w:cs="Tahoma"/>
          <w:sz w:val="24"/>
          <w:szCs w:val="24"/>
        </w:rPr>
        <w:t xml:space="preserve">  od 19/09/2016. do 26/09</w:t>
      </w:r>
      <w:r w:rsidR="002E1AD7">
        <w:rPr>
          <w:rFonts w:ascii="Tahoma" w:hAnsi="Tahoma" w:cs="Tahoma"/>
          <w:sz w:val="24"/>
          <w:szCs w:val="24"/>
        </w:rPr>
        <w:t>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055E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6A0" w:rsidRDefault="005A06A0" w:rsidP="004C7646">
      <w:pPr>
        <w:spacing w:after="0" w:line="240" w:lineRule="auto"/>
      </w:pPr>
      <w:r>
        <w:separator/>
      </w:r>
    </w:p>
  </w:endnote>
  <w:endnote w:type="continuationSeparator" w:id="0">
    <w:p w:rsidR="005A06A0" w:rsidRDefault="005A06A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6A0" w:rsidRDefault="005A06A0" w:rsidP="004C7646">
      <w:pPr>
        <w:spacing w:after="0" w:line="240" w:lineRule="auto"/>
      </w:pPr>
      <w:r>
        <w:separator/>
      </w:r>
    </w:p>
  </w:footnote>
  <w:footnote w:type="continuationSeparator" w:id="0">
    <w:p w:rsidR="005A06A0" w:rsidRDefault="005A06A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1A9"/>
    <w:rsid w:val="00046156"/>
    <w:rsid w:val="00046EA3"/>
    <w:rsid w:val="00047CE1"/>
    <w:rsid w:val="00052348"/>
    <w:rsid w:val="00052840"/>
    <w:rsid w:val="00055DF0"/>
    <w:rsid w:val="00055E57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550B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6A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165E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33B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539D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B835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p.gov.me/ministarstvo/zakon_o_finansiranju_politickih_subjekat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up.gov.me/ministarstvo/zakon_o_finansiranju_politickih_subjekat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1ADC-DF02-46D0-BC77-A91DBAD5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2017-02-10T14:31:00Z</cp:lastPrinted>
  <dcterms:created xsi:type="dcterms:W3CDTF">2017-02-10T14:31:00Z</dcterms:created>
  <dcterms:modified xsi:type="dcterms:W3CDTF">2017-11-29T11:18:00Z</dcterms:modified>
</cp:coreProperties>
</file>