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6817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132</w:t>
      </w:r>
      <w:r w:rsidR="00863171">
        <w:rPr>
          <w:rFonts w:ascii="Tahoma" w:hAnsi="Tahoma" w:cs="Tahoma"/>
          <w:b/>
          <w:sz w:val="24"/>
          <w:szCs w:val="24"/>
        </w:rPr>
        <w:t>5</w:t>
      </w:r>
      <w:r w:rsidR="00681725">
        <w:rPr>
          <w:rFonts w:ascii="Tahoma" w:hAnsi="Tahoma" w:cs="Tahoma"/>
          <w:b/>
          <w:sz w:val="24"/>
          <w:szCs w:val="24"/>
        </w:rPr>
        <w:t>/15</w:t>
      </w:r>
      <w:r w:rsidR="00BC4400">
        <w:rPr>
          <w:rFonts w:ascii="Tahoma" w:hAnsi="Tahoma" w:cs="Tahoma"/>
          <w:b/>
          <w:sz w:val="24"/>
          <w:szCs w:val="24"/>
        </w:rPr>
        <w:t>-</w:t>
      </w:r>
      <w:r w:rsidR="0016514F">
        <w:rPr>
          <w:rFonts w:ascii="Tahoma" w:hAnsi="Tahoma" w:cs="Tahoma"/>
          <w:b/>
          <w:sz w:val="24"/>
          <w:szCs w:val="24"/>
        </w:rPr>
        <w:t>2</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F034B6">
        <w:rPr>
          <w:rFonts w:ascii="Tahoma" w:hAnsi="Tahoma" w:cs="Tahoma"/>
          <w:b/>
          <w:sz w:val="24"/>
          <w:szCs w:val="24"/>
        </w:rPr>
        <w:t>21</w:t>
      </w:r>
      <w:r w:rsidR="00EA7201">
        <w:rPr>
          <w:rFonts w:ascii="Tahoma" w:hAnsi="Tahoma" w:cs="Tahoma"/>
          <w:b/>
          <w:sz w:val="24"/>
          <w:szCs w:val="24"/>
        </w:rPr>
        <w:t>.</w:t>
      </w:r>
      <w:r w:rsidR="0016514F">
        <w:rPr>
          <w:rFonts w:ascii="Tahoma" w:hAnsi="Tahoma" w:cs="Tahoma"/>
          <w:b/>
          <w:sz w:val="24"/>
          <w:szCs w:val="24"/>
        </w:rPr>
        <w:t>02</w:t>
      </w:r>
      <w:r w:rsidR="001241BC" w:rsidRPr="00A657F5">
        <w:rPr>
          <w:rFonts w:ascii="Tahoma" w:hAnsi="Tahoma" w:cs="Tahoma"/>
          <w:b/>
          <w:sz w:val="24"/>
          <w:szCs w:val="24"/>
        </w:rPr>
        <w:t>.</w:t>
      </w:r>
      <w:r w:rsidR="007B5D97">
        <w:rPr>
          <w:rFonts w:ascii="Tahoma" w:hAnsi="Tahoma" w:cs="Tahoma"/>
          <w:b/>
          <w:sz w:val="24"/>
          <w:szCs w:val="24"/>
        </w:rPr>
        <w:t>201</w:t>
      </w:r>
      <w:r w:rsidR="0016514F">
        <w:rPr>
          <w:rFonts w:ascii="Tahoma" w:hAnsi="Tahoma" w:cs="Tahoma"/>
          <w:b/>
          <w:sz w:val="24"/>
          <w:szCs w:val="24"/>
        </w:rPr>
        <w:t>9</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0016514F" w:rsidRPr="0017233C">
        <w:rPr>
          <w:rFonts w:ascii="Tahoma" w:hAnsi="Tahoma" w:cs="Tahoma"/>
          <w:sz w:val="24"/>
          <w:szCs w:val="24"/>
        </w:rPr>
        <w:t>postupajući po presudi Upravnog suda U.br.</w:t>
      </w:r>
      <w:r w:rsidR="0016514F">
        <w:rPr>
          <w:rFonts w:ascii="Tahoma" w:hAnsi="Tahoma" w:cs="Tahoma"/>
          <w:sz w:val="24"/>
          <w:szCs w:val="24"/>
        </w:rPr>
        <w:t>9442</w:t>
      </w:r>
      <w:r w:rsidR="0016514F" w:rsidRPr="0017233C">
        <w:rPr>
          <w:rFonts w:ascii="Tahoma" w:hAnsi="Tahoma" w:cs="Tahoma"/>
          <w:sz w:val="24"/>
          <w:szCs w:val="24"/>
        </w:rPr>
        <w:t>/2017 od 1</w:t>
      </w:r>
      <w:r w:rsidR="0016514F">
        <w:rPr>
          <w:rFonts w:ascii="Tahoma" w:hAnsi="Tahoma" w:cs="Tahoma"/>
          <w:sz w:val="24"/>
          <w:szCs w:val="24"/>
        </w:rPr>
        <w:t>2</w:t>
      </w:r>
      <w:r w:rsidR="0016514F" w:rsidRPr="0017233C">
        <w:rPr>
          <w:rFonts w:ascii="Tahoma" w:hAnsi="Tahoma" w:cs="Tahoma"/>
          <w:sz w:val="24"/>
          <w:szCs w:val="24"/>
        </w:rPr>
        <w:t>.</w:t>
      </w:r>
      <w:r w:rsidR="0016514F">
        <w:rPr>
          <w:rFonts w:ascii="Tahoma" w:hAnsi="Tahoma" w:cs="Tahoma"/>
          <w:sz w:val="24"/>
          <w:szCs w:val="24"/>
        </w:rPr>
        <w:t>10</w:t>
      </w:r>
      <w:r w:rsidR="0016514F" w:rsidRPr="0017233C">
        <w:rPr>
          <w:rFonts w:ascii="Tahoma" w:hAnsi="Tahoma" w:cs="Tahoma"/>
          <w:sz w:val="24"/>
          <w:szCs w:val="24"/>
        </w:rPr>
        <w:t xml:space="preserve">.2018.godine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155B87">
        <w:rPr>
          <w:rFonts w:ascii="Tahoma" w:hAnsi="Tahoma" w:cs="Tahoma"/>
          <w:sz w:val="24"/>
          <w:szCs w:val="24"/>
        </w:rPr>
        <w:t>77020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26FFF">
        <w:rPr>
          <w:rFonts w:ascii="Tahoma" w:hAnsi="Tahoma" w:cs="Tahoma"/>
          <w:sz w:val="24"/>
          <w:szCs w:val="24"/>
        </w:rPr>
        <w:t>08</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16514F">
        <w:rPr>
          <w:rFonts w:ascii="Tahoma" w:hAnsi="Tahoma" w:cs="Tahoma"/>
          <w:sz w:val="24"/>
          <w:szCs w:val="24"/>
        </w:rPr>
        <w:t>ečavanje korupcije</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FA101D">
        <w:rPr>
          <w:rFonts w:ascii="Tahoma" w:hAnsi="Tahoma" w:cs="Tahoma"/>
          <w:sz w:val="24"/>
          <w:szCs w:val="24"/>
        </w:rPr>
        <w:t>619</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C33DE9">
        <w:rPr>
          <w:rFonts w:ascii="Tahoma" w:hAnsi="Tahoma" w:cs="Tahoma"/>
          <w:sz w:val="24"/>
          <w:szCs w:val="24"/>
        </w:rPr>
        <w:t>2</w:t>
      </w:r>
      <w:r w:rsidR="00FA101D">
        <w:rPr>
          <w:rFonts w:ascii="Tahoma" w:hAnsi="Tahoma" w:cs="Tahoma"/>
          <w:sz w:val="24"/>
          <w:szCs w:val="24"/>
        </w:rPr>
        <w:t>3</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16514F">
        <w:rPr>
          <w:rFonts w:ascii="Tahoma" w:hAnsi="Tahoma" w:cs="Tahoma"/>
          <w:sz w:val="24"/>
          <w:szCs w:val="24"/>
        </w:rPr>
        <w:t>7</w:t>
      </w:r>
      <w:r w:rsidR="004A20A6" w:rsidRPr="00A657F5">
        <w:rPr>
          <w:rFonts w:ascii="Tahoma" w:hAnsi="Tahoma" w:cs="Tahoma"/>
          <w:sz w:val="24"/>
          <w:szCs w:val="24"/>
        </w:rPr>
        <w:t xml:space="preserve"> stav </w:t>
      </w:r>
      <w:r w:rsidR="0016514F">
        <w:rPr>
          <w:rFonts w:ascii="Tahoma" w:hAnsi="Tahoma" w:cs="Tahoma"/>
          <w:sz w:val="24"/>
          <w:szCs w:val="24"/>
        </w:rPr>
        <w:t>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034B6">
        <w:rPr>
          <w:rFonts w:ascii="Tahoma" w:hAnsi="Tahoma" w:cs="Tahoma"/>
          <w:sz w:val="24"/>
          <w:szCs w:val="24"/>
        </w:rPr>
        <w:t>15.02.2019</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16514F" w:rsidRPr="0017233C" w:rsidRDefault="0016514F" w:rsidP="0016514F">
      <w:pPr>
        <w:jc w:val="both"/>
        <w:rPr>
          <w:rFonts w:ascii="Tahoma" w:hAnsi="Tahoma" w:cs="Tahoma"/>
          <w:sz w:val="24"/>
          <w:szCs w:val="24"/>
        </w:rPr>
      </w:pPr>
      <w:r w:rsidRPr="0017233C">
        <w:rPr>
          <w:rFonts w:ascii="Tahoma" w:hAnsi="Tahoma" w:cs="Tahoma"/>
          <w:sz w:val="24"/>
          <w:szCs w:val="24"/>
        </w:rPr>
        <w:t>Usvaja se žalba.</w:t>
      </w:r>
    </w:p>
    <w:p w:rsidR="0016514F" w:rsidRPr="0017233C" w:rsidRDefault="0016514F" w:rsidP="0016514F">
      <w:pPr>
        <w:jc w:val="both"/>
        <w:rPr>
          <w:rFonts w:ascii="Tahoma" w:hAnsi="Tahoma" w:cs="Tahoma"/>
          <w:sz w:val="24"/>
          <w:szCs w:val="24"/>
        </w:rPr>
      </w:pPr>
      <w:r w:rsidRPr="0017233C">
        <w:rPr>
          <w:rFonts w:ascii="Tahoma" w:hAnsi="Tahoma" w:cs="Tahoma"/>
          <w:sz w:val="24"/>
          <w:szCs w:val="24"/>
        </w:rPr>
        <w:t xml:space="preserve">Poništava se </w:t>
      </w:r>
      <w:r>
        <w:rPr>
          <w:rFonts w:ascii="Tahoma" w:hAnsi="Tahoma" w:cs="Tahoma"/>
          <w:sz w:val="24"/>
          <w:szCs w:val="24"/>
        </w:rPr>
        <w:t xml:space="preserve">akt Komisije za sprječavanje sukoba interesa čiji je pravni sljedbenik Agencija za sprječavanje korupcije broj: 619/2  </w:t>
      </w:r>
      <w:r w:rsidRPr="00A657F5">
        <w:rPr>
          <w:rFonts w:ascii="Tahoma" w:hAnsi="Tahoma" w:cs="Tahoma"/>
          <w:sz w:val="24"/>
          <w:szCs w:val="24"/>
        </w:rPr>
        <w:t xml:space="preserve">od </w:t>
      </w:r>
      <w:r>
        <w:rPr>
          <w:rFonts w:ascii="Tahoma" w:hAnsi="Tahoma" w:cs="Tahoma"/>
          <w:sz w:val="24"/>
          <w:szCs w:val="24"/>
        </w:rPr>
        <w:t>23.04.2015.godine.</w:t>
      </w:r>
    </w:p>
    <w:p w:rsidR="0016514F" w:rsidRPr="0017233C" w:rsidRDefault="0016514F" w:rsidP="0016514F">
      <w:pPr>
        <w:jc w:val="both"/>
        <w:rPr>
          <w:rFonts w:ascii="Tahoma" w:hAnsi="Tahoma" w:cs="Tahoma"/>
          <w:sz w:val="24"/>
          <w:szCs w:val="24"/>
        </w:rPr>
      </w:pPr>
      <w:r w:rsidRPr="0017233C">
        <w:rPr>
          <w:rFonts w:ascii="Tahoma" w:hAnsi="Tahoma" w:cs="Tahoma"/>
          <w:sz w:val="24"/>
          <w:szCs w:val="24"/>
        </w:rPr>
        <w:t>Predmet se dostavlja prvostepenom organu na ponovni postupak i odlučivanje.</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DB1D7E">
        <w:rPr>
          <w:rFonts w:ascii="Tahoma" w:hAnsi="Tahoma" w:cs="Tahoma"/>
          <w:sz w:val="24"/>
          <w:szCs w:val="24"/>
        </w:rPr>
        <w:t>619</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DB1D7E">
        <w:rPr>
          <w:rFonts w:ascii="Tahoma" w:hAnsi="Tahoma" w:cs="Tahoma"/>
          <w:sz w:val="24"/>
          <w:szCs w:val="24"/>
        </w:rPr>
        <w:t>23</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4F4A56">
        <w:rPr>
          <w:rFonts w:ascii="Tahoma" w:hAnsi="Tahoma" w:cs="Tahoma"/>
          <w:sz w:val="24"/>
          <w:szCs w:val="24"/>
        </w:rPr>
        <w:t>619</w:t>
      </w:r>
      <w:r w:rsidR="004247CF" w:rsidRPr="004247CF">
        <w:rPr>
          <w:rFonts w:ascii="Tahoma" w:hAnsi="Tahoma" w:cs="Tahoma"/>
          <w:sz w:val="24"/>
          <w:szCs w:val="24"/>
        </w:rPr>
        <w:t xml:space="preserve"> od </w:t>
      </w:r>
      <w:r w:rsidR="004F4A56">
        <w:rPr>
          <w:rFonts w:ascii="Tahoma" w:hAnsi="Tahoma" w:cs="Tahoma"/>
          <w:sz w:val="24"/>
          <w:szCs w:val="24"/>
        </w:rPr>
        <w:t>22</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40472F">
        <w:rPr>
          <w:rFonts w:ascii="Tahoma" w:hAnsi="Tahoma" w:cs="Tahoma"/>
          <w:sz w:val="24"/>
          <w:szCs w:val="24"/>
        </w:rPr>
        <w:t>Radoja Žugića, ministra finansija</w:t>
      </w:r>
      <w:r w:rsidR="004E6F59">
        <w:rPr>
          <w:rFonts w:ascii="Tahoma" w:hAnsi="Tahoma" w:cs="Tahoma"/>
          <w:sz w:val="24"/>
          <w:szCs w:val="24"/>
        </w:rPr>
        <w:t xml:space="preserve">. Navode da je  </w:t>
      </w:r>
      <w:r w:rsidR="00705CB5">
        <w:rPr>
          <w:rFonts w:ascii="Tahoma" w:hAnsi="Tahoma" w:cs="Tahoma"/>
          <w:sz w:val="24"/>
          <w:szCs w:val="24"/>
        </w:rPr>
        <w:t>Radoje Žugić</w:t>
      </w:r>
      <w:r w:rsidR="004247CF" w:rsidRPr="004247CF">
        <w:rPr>
          <w:rFonts w:ascii="Tahoma" w:hAnsi="Tahoma" w:cs="Tahoma"/>
          <w:sz w:val="24"/>
          <w:szCs w:val="24"/>
        </w:rPr>
        <w:t xml:space="preserve">, </w:t>
      </w:r>
      <w:r w:rsidR="00AB47C4">
        <w:rPr>
          <w:rFonts w:ascii="Tahoma" w:hAnsi="Tahoma" w:cs="Tahoma"/>
          <w:sz w:val="24"/>
          <w:szCs w:val="24"/>
        </w:rPr>
        <w:t xml:space="preserve">ministar </w:t>
      </w:r>
      <w:r w:rsidR="00705CB5">
        <w:rPr>
          <w:rFonts w:ascii="Tahoma" w:hAnsi="Tahoma" w:cs="Tahoma"/>
          <w:sz w:val="24"/>
          <w:szCs w:val="24"/>
        </w:rPr>
        <w:t>finansija</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w:t>
      </w:r>
      <w:r w:rsidR="004247CF" w:rsidRPr="004247CF">
        <w:rPr>
          <w:rFonts w:ascii="Tahoma" w:hAnsi="Tahoma" w:cs="Tahoma"/>
          <w:sz w:val="24"/>
          <w:szCs w:val="24"/>
        </w:rPr>
        <w:lastRenderedPageBreak/>
        <w:t>pet dana od dana podnošenja zahtjeva, u pisanoj formi, obavijesti podnosioca zahtjeva o tome gdje je i kada tražena informacija javno objavljena. Imena javnih funkcionera za koje je u postupku provjere utvrđeno da nijesu prijavili tačne i potpune podatke, 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AB47C4">
        <w:rPr>
          <w:rFonts w:ascii="Tahoma" w:hAnsi="Tahoma" w:cs="Tahoma"/>
          <w:sz w:val="24"/>
          <w:szCs w:val="24"/>
        </w:rPr>
        <w:t>2</w:t>
      </w:r>
      <w:r w:rsidR="00324F70">
        <w:rPr>
          <w:rFonts w:ascii="Tahoma" w:hAnsi="Tahoma" w:cs="Tahoma"/>
          <w:sz w:val="24"/>
          <w:szCs w:val="24"/>
        </w:rPr>
        <w:t>2</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F35B9B">
        <w:rPr>
          <w:rFonts w:ascii="Tahoma" w:hAnsi="Tahoma" w:cs="Tahoma"/>
          <w:sz w:val="24"/>
          <w:szCs w:val="24"/>
        </w:rPr>
        <w:t>Radoja Žugića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EF7733">
        <w:rPr>
          <w:rFonts w:ascii="Tahoma" w:hAnsi="Tahoma" w:cs="Tahoma"/>
          <w:sz w:val="24"/>
          <w:szCs w:val="24"/>
          <w:lang w:val="en-US"/>
        </w:rPr>
        <w:t>23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CF55F4">
        <w:rPr>
          <w:rFonts w:ascii="Tahoma" w:hAnsi="Tahoma" w:cs="Tahoma"/>
          <w:sz w:val="24"/>
          <w:szCs w:val="24"/>
          <w:lang w:val="en-US"/>
        </w:rPr>
        <w:t>619</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0D2FB7">
        <w:rPr>
          <w:rFonts w:ascii="Tahoma" w:hAnsi="Tahoma" w:cs="Tahoma"/>
          <w:sz w:val="24"/>
          <w:szCs w:val="24"/>
          <w:lang w:val="en-US"/>
        </w:rPr>
        <w:t>2</w:t>
      </w:r>
      <w:r w:rsidR="00CF55F4">
        <w:rPr>
          <w:rFonts w:ascii="Tahoma" w:hAnsi="Tahoma" w:cs="Tahoma"/>
          <w:sz w:val="24"/>
          <w:szCs w:val="24"/>
          <w:lang w:val="en-US"/>
        </w:rPr>
        <w:t>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w:t>
      </w:r>
      <w:r w:rsidR="004229D0" w:rsidRPr="004229D0">
        <w:rPr>
          <w:rFonts w:ascii="Tahoma" w:hAnsi="Tahoma" w:cs="Tahoma"/>
          <w:sz w:val="24"/>
          <w:szCs w:val="24"/>
        </w:rPr>
        <w:lastRenderedPageBreak/>
        <w:t xml:space="preserve">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0560B4">
        <w:rPr>
          <w:rFonts w:ascii="Tahoma" w:hAnsi="Tahoma" w:cs="Tahoma"/>
          <w:sz w:val="24"/>
          <w:szCs w:val="24"/>
        </w:rPr>
        <w:t>619</w:t>
      </w:r>
      <w:r w:rsidR="004229D0" w:rsidRPr="004229D0">
        <w:rPr>
          <w:rFonts w:ascii="Tahoma" w:hAnsi="Tahoma" w:cs="Tahoma"/>
          <w:sz w:val="24"/>
          <w:szCs w:val="24"/>
        </w:rPr>
        <w:t xml:space="preserve">/2 od </w:t>
      </w:r>
      <w:r w:rsidR="00354A22">
        <w:rPr>
          <w:rFonts w:ascii="Tahoma" w:hAnsi="Tahoma" w:cs="Tahoma"/>
          <w:sz w:val="24"/>
          <w:szCs w:val="24"/>
        </w:rPr>
        <w:t>2</w:t>
      </w:r>
      <w:r w:rsidR="000560B4">
        <w:rPr>
          <w:rFonts w:ascii="Tahoma" w:hAnsi="Tahoma" w:cs="Tahoma"/>
          <w:sz w:val="24"/>
          <w:szCs w:val="24"/>
        </w:rPr>
        <w:t>3</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DA7D22">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0E67B4">
        <w:rPr>
          <w:rStyle w:val="BodytextBold"/>
          <w:rFonts w:ascii="Tahoma" w:eastAsiaTheme="minorEastAsia" w:hAnsi="Tahoma" w:cs="Tahoma"/>
          <w:b w:val="0"/>
        </w:rPr>
        <w:t>619</w:t>
      </w:r>
      <w:r w:rsidR="002D262F" w:rsidRPr="002D262F">
        <w:rPr>
          <w:rStyle w:val="BodytextBold"/>
          <w:rFonts w:ascii="Tahoma" w:eastAsiaTheme="minorEastAsia" w:hAnsi="Tahoma" w:cs="Tahoma"/>
          <w:b w:val="0"/>
        </w:rPr>
        <w:t xml:space="preserve">/2 od </w:t>
      </w:r>
      <w:r w:rsidR="00CC3AE1">
        <w:rPr>
          <w:rStyle w:val="BodytextBold"/>
          <w:rFonts w:ascii="Tahoma" w:eastAsiaTheme="minorEastAsia" w:hAnsi="Tahoma" w:cs="Tahoma"/>
          <w:b w:val="0"/>
        </w:rPr>
        <w:t>2</w:t>
      </w:r>
      <w:r w:rsidR="000E67B4">
        <w:rPr>
          <w:rStyle w:val="BodytextBold"/>
          <w:rFonts w:ascii="Tahoma" w:eastAsiaTheme="minorEastAsia" w:hAnsi="Tahoma" w:cs="Tahoma"/>
          <w:b w:val="0"/>
        </w:rPr>
        <w:t>3</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4D26AE">
        <w:rPr>
          <w:rStyle w:val="BodytextBold"/>
          <w:rFonts w:ascii="Tahoma" w:eastAsiaTheme="minorEastAsia" w:hAnsi="Tahoma" w:cs="Tahoma"/>
          <w:b w:val="0"/>
        </w:rPr>
        <w:t>Radoja Žugića</w:t>
      </w:r>
      <w:r w:rsidR="001B241E">
        <w:rPr>
          <w:rStyle w:val="BodytextBold"/>
          <w:rFonts w:ascii="Tahoma" w:eastAsiaTheme="minorEastAsia" w:hAnsi="Tahoma" w:cs="Tahoma"/>
          <w:b w:val="0"/>
        </w:rPr>
        <w:t xml:space="preserve">, ministra </w:t>
      </w:r>
      <w:r w:rsidR="004D26AE">
        <w:rPr>
          <w:rStyle w:val="BodytextBold"/>
          <w:rFonts w:ascii="Tahoma" w:eastAsiaTheme="minorEastAsia" w:hAnsi="Tahoma" w:cs="Tahoma"/>
          <w:b w:val="0"/>
        </w:rPr>
        <w:t>finansija</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343A9B">
        <w:rPr>
          <w:rFonts w:ascii="Tahoma" w:hAnsi="Tahoma" w:cs="Tahoma"/>
          <w:sz w:val="24"/>
          <w:szCs w:val="24"/>
        </w:rPr>
        <w:t>Radoje Žugić</w:t>
      </w:r>
      <w:r w:rsidR="001B241E">
        <w:rPr>
          <w:rFonts w:ascii="Tahoma" w:hAnsi="Tahoma" w:cs="Tahoma"/>
          <w:sz w:val="24"/>
          <w:szCs w:val="24"/>
        </w:rPr>
        <w:t xml:space="preserve">, ministar </w:t>
      </w:r>
      <w:r w:rsidR="00343A9B">
        <w:rPr>
          <w:rFonts w:ascii="Tahoma" w:hAnsi="Tahoma" w:cs="Tahoma"/>
          <w:sz w:val="24"/>
          <w:szCs w:val="24"/>
        </w:rPr>
        <w:t>finanasija</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w:t>
      </w:r>
      <w:r w:rsidR="002D262F" w:rsidRPr="002D262F">
        <w:rPr>
          <w:rFonts w:ascii="Tahoma" w:hAnsi="Tahoma" w:cs="Tahoma"/>
          <w:sz w:val="24"/>
          <w:szCs w:val="24"/>
        </w:rPr>
        <w:lastRenderedPageBreak/>
        <w:t>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619</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22</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F6162F">
        <w:rPr>
          <w:rFonts w:ascii="Tahoma" w:hAnsi="Tahoma" w:cs="Tahoma"/>
          <w:sz w:val="24"/>
          <w:szCs w:val="24"/>
        </w:rPr>
        <w:t>Radoja Žugića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Komisije onako kako je to javni funkcioner prijavio u svom </w:t>
      </w:r>
      <w:r w:rsidR="002D262F" w:rsidRPr="002D262F">
        <w:rPr>
          <w:rFonts w:ascii="Tahoma" w:hAnsi="Tahoma" w:cs="Tahoma"/>
          <w:sz w:val="24"/>
          <w:szCs w:val="24"/>
        </w:rPr>
        <w:lastRenderedPageBreak/>
        <w:t>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923CC3">
        <w:rPr>
          <w:rFonts w:ascii="Tahoma" w:hAnsi="Tahoma" w:cs="Tahoma"/>
          <w:sz w:val="24"/>
          <w:szCs w:val="24"/>
        </w:rPr>
        <w:t>619</w:t>
      </w:r>
      <w:r w:rsidR="002D262F" w:rsidRPr="002D262F">
        <w:rPr>
          <w:rFonts w:ascii="Tahoma" w:hAnsi="Tahoma" w:cs="Tahoma"/>
          <w:sz w:val="24"/>
          <w:szCs w:val="24"/>
        </w:rPr>
        <w:t xml:space="preserve">/2 od </w:t>
      </w:r>
      <w:r w:rsidR="00A61B0B">
        <w:rPr>
          <w:rFonts w:ascii="Tahoma" w:hAnsi="Tahoma" w:cs="Tahoma"/>
          <w:sz w:val="24"/>
          <w:szCs w:val="24"/>
        </w:rPr>
        <w:t>2</w:t>
      </w:r>
      <w:r w:rsidR="00923CC3">
        <w:rPr>
          <w:rFonts w:ascii="Tahoma" w:hAnsi="Tahoma" w:cs="Tahoma"/>
          <w:sz w:val="24"/>
          <w:szCs w:val="24"/>
        </w:rPr>
        <w:t>3</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E83453" w:rsidRPr="0017233C" w:rsidRDefault="00E83453" w:rsidP="00DA7D22">
      <w:pPr>
        <w:jc w:val="both"/>
        <w:rPr>
          <w:rFonts w:ascii="Tahoma" w:hAnsi="Tahoma" w:cs="Tahoma"/>
          <w:sz w:val="24"/>
          <w:szCs w:val="24"/>
        </w:rPr>
      </w:pPr>
      <w:r w:rsidRPr="0017233C">
        <w:rPr>
          <w:rFonts w:ascii="Tahoma" w:hAnsi="Tahoma" w:cs="Tahoma"/>
          <w:sz w:val="24"/>
          <w:szCs w:val="24"/>
        </w:rPr>
        <w:t>Nakon razmatranja spisa predmeta i žalbenih navoda, a postupajući po presudi Upravnog suda U.br.1997/2017 od 13.03.2018.godine Savjet Agencije nalazi da je žalba osnovana.</w:t>
      </w:r>
    </w:p>
    <w:p w:rsidR="00E83453" w:rsidRDefault="00E83453" w:rsidP="00DA7D22">
      <w:pPr>
        <w:jc w:val="both"/>
        <w:rPr>
          <w:rFonts w:ascii="Tahoma" w:hAnsi="Tahoma" w:cs="Tahoma"/>
          <w:sz w:val="24"/>
          <w:szCs w:val="24"/>
        </w:rPr>
      </w:pPr>
      <w:r w:rsidRPr="0017233C">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zakonitosti osporenog </w:t>
      </w:r>
      <w:r w:rsidR="00A05342">
        <w:rPr>
          <w:rFonts w:ascii="Tahoma" w:hAnsi="Tahoma" w:cs="Tahoma"/>
          <w:sz w:val="24"/>
          <w:szCs w:val="24"/>
        </w:rPr>
        <w:t>akta</w:t>
      </w:r>
      <w:r w:rsidRPr="0017233C">
        <w:rPr>
          <w:rFonts w:ascii="Tahoma" w:hAnsi="Tahoma" w:cs="Tahoma"/>
          <w:sz w:val="24"/>
          <w:szCs w:val="24"/>
        </w:rPr>
        <w:t xml:space="preserve"> utvrdio da prvostepeni organ pogrešno primijenio materijalno pravo te da je </w:t>
      </w:r>
      <w:r w:rsidR="00A05342">
        <w:rPr>
          <w:rFonts w:ascii="Tahoma" w:hAnsi="Tahoma" w:cs="Tahoma"/>
          <w:sz w:val="24"/>
          <w:szCs w:val="24"/>
        </w:rPr>
        <w:t xml:space="preserve">povrijedio </w:t>
      </w:r>
      <w:r w:rsidRPr="0017233C">
        <w:rPr>
          <w:rFonts w:ascii="Tahoma" w:hAnsi="Tahoma" w:cs="Tahoma"/>
          <w:sz w:val="24"/>
          <w:szCs w:val="24"/>
        </w:rPr>
        <w:t>pravila postupka</w:t>
      </w:r>
      <w:r w:rsidR="000C1A52" w:rsidRPr="003D6951">
        <w:rPr>
          <w:rFonts w:ascii="Tahoma" w:hAnsi="Tahoma" w:cs="Tahoma"/>
          <w:sz w:val="24"/>
          <w:szCs w:val="24"/>
        </w:rPr>
        <w:t xml:space="preserve">. </w:t>
      </w:r>
    </w:p>
    <w:p w:rsidR="00E83453" w:rsidRDefault="00E83453" w:rsidP="00DA7D22">
      <w:pPr>
        <w:jc w:val="both"/>
        <w:rPr>
          <w:rFonts w:ascii="Tahoma" w:hAnsi="Tahoma" w:cs="Tahoma"/>
          <w:sz w:val="24"/>
          <w:szCs w:val="24"/>
        </w:rPr>
      </w:pPr>
      <w:r>
        <w:rPr>
          <w:rFonts w:ascii="Tahoma" w:hAnsi="Tahoma" w:cs="Tahoma"/>
          <w:sz w:val="24"/>
          <w:szCs w:val="24"/>
        </w:rPr>
        <w:lastRenderedPageBreak/>
        <w:t>Prilikom odlučivanja u ovoj upravno pravnoj stvari Savjet Agencije je pošao od odredbe člana</w:t>
      </w:r>
      <w:r w:rsidR="000C1A52" w:rsidRPr="00485E6D">
        <w:rPr>
          <w:rFonts w:ascii="Tahoma" w:hAnsi="Tahoma" w:cs="Tahoma"/>
          <w:sz w:val="24"/>
          <w:szCs w:val="24"/>
        </w:rPr>
        <w:t xml:space="preserve"> 26 Zakona o slobodnom pristupu informacijama</w:t>
      </w:r>
      <w:r>
        <w:rPr>
          <w:rFonts w:ascii="Tahoma" w:hAnsi="Tahoma" w:cs="Tahoma"/>
          <w:sz w:val="24"/>
          <w:szCs w:val="24"/>
        </w:rPr>
        <w:t xml:space="preserve"> kojom je</w:t>
      </w:r>
      <w:r w:rsidR="000C1A52" w:rsidRPr="00485E6D">
        <w:rPr>
          <w:rFonts w:ascii="Tahoma" w:hAnsi="Tahoma" w:cs="Tahoma"/>
          <w:sz w:val="24"/>
          <w:szCs w:val="24"/>
        </w:rPr>
        <w:t xml:space="preserve"> propisano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p>
    <w:p w:rsidR="00020CE3" w:rsidRDefault="00020CE3" w:rsidP="00DA7D22">
      <w:pPr>
        <w:autoSpaceDE w:val="0"/>
        <w:autoSpaceDN w:val="0"/>
        <w:adjustRightInd w:val="0"/>
        <w:spacing w:after="0"/>
        <w:jc w:val="both"/>
        <w:rPr>
          <w:rFonts w:ascii="Tahoma" w:hAnsi="Tahoma" w:cs="Tahoma"/>
          <w:sz w:val="24"/>
          <w:szCs w:val="24"/>
        </w:rPr>
      </w:pPr>
      <w:r>
        <w:rPr>
          <w:rFonts w:ascii="Tahoma" w:hAnsi="Tahoma" w:cs="Tahoma"/>
          <w:sz w:val="24"/>
          <w:szCs w:val="24"/>
        </w:rPr>
        <w:t>Savjet Ag</w:t>
      </w:r>
      <w:r w:rsidR="00A05342">
        <w:rPr>
          <w:rFonts w:ascii="Tahoma" w:hAnsi="Tahoma" w:cs="Tahoma"/>
          <w:sz w:val="24"/>
          <w:szCs w:val="24"/>
        </w:rPr>
        <w:t>encije je našao da pobijani</w:t>
      </w:r>
      <w:r>
        <w:rPr>
          <w:rFonts w:ascii="Tahoma" w:hAnsi="Tahoma" w:cs="Tahoma"/>
          <w:sz w:val="24"/>
          <w:szCs w:val="24"/>
        </w:rPr>
        <w:t xml:space="preserve"> akt prvostepenog organa sadrži </w:t>
      </w:r>
      <w:r>
        <w:rPr>
          <w:rFonts w:ascii="Tahoma" w:hAnsi="Tahoma" w:cs="Tahoma"/>
          <w:color w:val="000000"/>
          <w:sz w:val="24"/>
          <w:szCs w:val="24"/>
          <w:lang w:val="hr-HR"/>
        </w:rPr>
        <w:t xml:space="preserve">razloge koji su međusobno protivrječni, budući da prvostepeni organ prvo navodi da se predmetni zahtjev odbija pozivajući se na odredbu člana 26 </w:t>
      </w:r>
      <w:r w:rsidRPr="003C1DEF">
        <w:rPr>
          <w:rFonts w:ascii="Tahoma" w:hAnsi="Tahoma" w:cs="Tahoma"/>
          <w:sz w:val="24"/>
          <w:szCs w:val="24"/>
        </w:rPr>
        <w:t>Zakona o slobodnom pristupu informacijama</w:t>
      </w:r>
      <w:r>
        <w:rPr>
          <w:rFonts w:ascii="Tahoma" w:hAnsi="Tahoma" w:cs="Tahoma"/>
          <w:sz w:val="24"/>
          <w:szCs w:val="24"/>
        </w:rPr>
        <w:t xml:space="preserve">, nakon čega prvostepeni organ navodi da je </w:t>
      </w:r>
      <w:r w:rsidRPr="004247CF">
        <w:rPr>
          <w:rFonts w:ascii="Tahoma" w:hAnsi="Tahoma" w:cs="Tahoma"/>
          <w:sz w:val="24"/>
          <w:szCs w:val="24"/>
        </w:rPr>
        <w:t>Izvještaj o prihodima i imovini za 2014. godinu</w:t>
      </w:r>
      <w:r>
        <w:rPr>
          <w:rFonts w:ascii="Tahoma" w:hAnsi="Tahoma" w:cs="Tahoma"/>
          <w:sz w:val="24"/>
          <w:szCs w:val="24"/>
        </w:rPr>
        <w:t xml:space="preserve"> Radoja Žugića</w:t>
      </w:r>
      <w:r w:rsidRPr="004247CF">
        <w:rPr>
          <w:rFonts w:ascii="Tahoma" w:hAnsi="Tahoma" w:cs="Tahoma"/>
          <w:sz w:val="24"/>
          <w:szCs w:val="24"/>
        </w:rPr>
        <w:t xml:space="preserve">, </w:t>
      </w:r>
      <w:r>
        <w:rPr>
          <w:rFonts w:ascii="Tahoma" w:hAnsi="Tahoma" w:cs="Tahoma"/>
          <w:sz w:val="24"/>
          <w:szCs w:val="24"/>
        </w:rPr>
        <w:t>ministra finansija</w:t>
      </w:r>
      <w:r w:rsidRPr="004247CF">
        <w:rPr>
          <w:rFonts w:ascii="Tahoma" w:hAnsi="Tahoma" w:cs="Tahoma"/>
          <w:sz w:val="24"/>
          <w:szCs w:val="24"/>
        </w:rPr>
        <w:t xml:space="preserve"> u proceduri obrad</w:t>
      </w:r>
      <w:r>
        <w:rPr>
          <w:rFonts w:ascii="Tahoma" w:hAnsi="Tahoma" w:cs="Tahoma"/>
          <w:sz w:val="24"/>
          <w:szCs w:val="24"/>
        </w:rPr>
        <w:t>e</w:t>
      </w:r>
      <w:r w:rsidRPr="004247CF">
        <w:rPr>
          <w:rFonts w:ascii="Tahoma" w:hAnsi="Tahoma" w:cs="Tahoma"/>
          <w:sz w:val="24"/>
          <w:szCs w:val="24"/>
        </w:rPr>
        <w:t xml:space="preserve">, te </w:t>
      </w:r>
      <w:r>
        <w:rPr>
          <w:rFonts w:ascii="Tahoma" w:hAnsi="Tahoma" w:cs="Tahoma"/>
          <w:sz w:val="24"/>
          <w:szCs w:val="24"/>
        </w:rPr>
        <w:t xml:space="preserve">da </w:t>
      </w:r>
      <w:r w:rsidRPr="004247CF">
        <w:rPr>
          <w:rFonts w:ascii="Tahoma" w:hAnsi="Tahoma" w:cs="Tahoma"/>
          <w:sz w:val="24"/>
          <w:szCs w:val="24"/>
        </w:rPr>
        <w:t>će nakon okončanog postupka te</w:t>
      </w:r>
      <w:r>
        <w:rPr>
          <w:rFonts w:ascii="Tahoma" w:hAnsi="Tahoma" w:cs="Tahoma"/>
          <w:sz w:val="24"/>
          <w:szCs w:val="24"/>
        </w:rPr>
        <w:t>hničko administrativne i potpune</w:t>
      </w:r>
      <w:r w:rsidRPr="004247CF">
        <w:rPr>
          <w:rFonts w:ascii="Tahoma" w:hAnsi="Tahoma" w:cs="Tahoma"/>
          <w:sz w:val="24"/>
          <w:szCs w:val="24"/>
        </w:rPr>
        <w:t xml:space="preserve"> provj</w:t>
      </w:r>
      <w:r>
        <w:rPr>
          <w:rFonts w:ascii="Tahoma" w:hAnsi="Tahoma" w:cs="Tahoma"/>
          <w:sz w:val="24"/>
          <w:szCs w:val="24"/>
        </w:rPr>
        <w:t>ere podataka biti objavljen na sajtu Komisije</w:t>
      </w:r>
      <w:r w:rsidR="0063007C">
        <w:rPr>
          <w:rFonts w:ascii="Tahoma" w:hAnsi="Tahoma" w:cs="Tahoma"/>
          <w:sz w:val="24"/>
          <w:szCs w:val="24"/>
        </w:rPr>
        <w:t xml:space="preserve">, iz čega proizilazi da dio tražene informacija u trenutku podnošenja zahtjeva za slobodan pristup nije bio javno objavljen na internet adresi prvostepenog organa. </w:t>
      </w:r>
      <w:r w:rsidRPr="0063007C">
        <w:rPr>
          <w:rFonts w:ascii="Tahoma" w:hAnsi="Tahoma" w:cs="Tahoma"/>
          <w:sz w:val="24"/>
          <w:szCs w:val="24"/>
        </w:rPr>
        <w:t xml:space="preserve">Imajući u vidu prethodno navedeno ne može se zaključiti na osnovu čega se prvostepeni organ poziva na navedenu odredbu, budući da </w:t>
      </w:r>
      <w:r w:rsidR="0063007C" w:rsidRPr="0063007C">
        <w:rPr>
          <w:rFonts w:ascii="Tahoma" w:hAnsi="Tahoma" w:cs="Tahoma"/>
          <w:sz w:val="24"/>
          <w:szCs w:val="24"/>
        </w:rPr>
        <w:t xml:space="preserve">dio </w:t>
      </w:r>
      <w:r w:rsidRPr="0063007C">
        <w:rPr>
          <w:rFonts w:ascii="Tahoma" w:hAnsi="Tahoma" w:cs="Tahoma"/>
          <w:sz w:val="24"/>
          <w:szCs w:val="24"/>
        </w:rPr>
        <w:t>tražen</w:t>
      </w:r>
      <w:r w:rsidR="0063007C" w:rsidRPr="0063007C">
        <w:rPr>
          <w:rFonts w:ascii="Tahoma" w:hAnsi="Tahoma" w:cs="Tahoma"/>
          <w:sz w:val="24"/>
          <w:szCs w:val="24"/>
        </w:rPr>
        <w:t>e</w:t>
      </w:r>
      <w:r w:rsidRPr="0063007C">
        <w:rPr>
          <w:rFonts w:ascii="Tahoma" w:hAnsi="Tahoma" w:cs="Tahoma"/>
          <w:sz w:val="24"/>
          <w:szCs w:val="24"/>
        </w:rPr>
        <w:t xml:space="preserve"> informacij</w:t>
      </w:r>
      <w:r w:rsidR="0063007C" w:rsidRPr="0063007C">
        <w:rPr>
          <w:rFonts w:ascii="Tahoma" w:hAnsi="Tahoma" w:cs="Tahoma"/>
          <w:sz w:val="24"/>
          <w:szCs w:val="24"/>
        </w:rPr>
        <w:t>e koji se odnosi na Izvještaj o prihodima i imovini za</w:t>
      </w:r>
      <w:r w:rsidR="0063007C" w:rsidRPr="0063007C">
        <w:rPr>
          <w:rStyle w:val="BodytextSpacing0pt"/>
          <w:rFonts w:ascii="Tahoma" w:eastAsiaTheme="minorEastAsia" w:hAnsi="Tahoma" w:cs="Tahoma"/>
        </w:rPr>
        <w:t xml:space="preserve"> 2014.</w:t>
      </w:r>
      <w:r w:rsidR="0063007C" w:rsidRPr="0063007C">
        <w:rPr>
          <w:rFonts w:ascii="Tahoma" w:hAnsi="Tahoma" w:cs="Tahoma"/>
          <w:sz w:val="24"/>
          <w:szCs w:val="24"/>
        </w:rPr>
        <w:t xml:space="preserve"> godinu</w:t>
      </w:r>
      <w:r w:rsidRPr="0063007C">
        <w:rPr>
          <w:rFonts w:ascii="Tahoma" w:hAnsi="Tahoma" w:cs="Tahoma"/>
          <w:sz w:val="24"/>
          <w:szCs w:val="24"/>
        </w:rPr>
        <w:t xml:space="preserve"> nije javno objavljen. Shodno prethodno navedenom prvostepeni organ je počinio povredu pravila postupka, koja se ogleda u manjkavostima osporavanog </w:t>
      </w:r>
      <w:r w:rsidR="0063007C" w:rsidRPr="0063007C">
        <w:rPr>
          <w:rFonts w:ascii="Tahoma" w:hAnsi="Tahoma" w:cs="Tahoma"/>
          <w:sz w:val="24"/>
          <w:szCs w:val="24"/>
        </w:rPr>
        <w:t>akta</w:t>
      </w:r>
      <w:r w:rsidRPr="0063007C">
        <w:rPr>
          <w:rFonts w:ascii="Tahoma" w:hAnsi="Tahoma" w:cs="Tahoma"/>
          <w:sz w:val="24"/>
          <w:szCs w:val="24"/>
        </w:rPr>
        <w:t xml:space="preserve"> koja su procesnog karaktera, obzirom da je </w:t>
      </w:r>
      <w:r w:rsidR="0063007C" w:rsidRPr="0063007C">
        <w:rPr>
          <w:rFonts w:ascii="Tahoma" w:hAnsi="Tahoma" w:cs="Tahoma"/>
          <w:sz w:val="24"/>
          <w:szCs w:val="24"/>
        </w:rPr>
        <w:t>isti</w:t>
      </w:r>
      <w:r w:rsidRPr="0063007C">
        <w:rPr>
          <w:rFonts w:ascii="Tahoma" w:hAnsi="Tahoma" w:cs="Tahoma"/>
          <w:sz w:val="24"/>
          <w:szCs w:val="24"/>
        </w:rPr>
        <w:t xml:space="preserve"> nejas</w:t>
      </w:r>
      <w:r w:rsidR="0063007C" w:rsidRPr="0063007C">
        <w:rPr>
          <w:rFonts w:ascii="Tahoma" w:hAnsi="Tahoma" w:cs="Tahoma"/>
          <w:sz w:val="24"/>
          <w:szCs w:val="24"/>
        </w:rPr>
        <w:t>an</w:t>
      </w:r>
      <w:r w:rsidRPr="0063007C">
        <w:rPr>
          <w:rFonts w:ascii="Tahoma" w:hAnsi="Tahoma" w:cs="Tahoma"/>
          <w:sz w:val="24"/>
          <w:szCs w:val="24"/>
        </w:rPr>
        <w:t xml:space="preserve"> </w:t>
      </w:r>
      <w:r w:rsidR="0063007C" w:rsidRPr="0063007C">
        <w:rPr>
          <w:rFonts w:ascii="Tahoma" w:hAnsi="Tahoma" w:cs="Tahoma"/>
          <w:sz w:val="24"/>
          <w:szCs w:val="24"/>
        </w:rPr>
        <w:t>i</w:t>
      </w:r>
      <w:r w:rsidRPr="0063007C">
        <w:rPr>
          <w:rFonts w:ascii="Tahoma" w:hAnsi="Tahoma" w:cs="Tahoma"/>
          <w:sz w:val="24"/>
          <w:szCs w:val="24"/>
        </w:rPr>
        <w:t xml:space="preserve"> sadrži protivrječne razloge. Takođe isti je pogrešno primijenio materijalno pravo, na način što</w:t>
      </w:r>
      <w:r w:rsidR="0063007C" w:rsidRPr="0063007C">
        <w:rPr>
          <w:rFonts w:ascii="Tahoma" w:hAnsi="Tahoma" w:cs="Tahoma"/>
          <w:sz w:val="24"/>
          <w:szCs w:val="24"/>
        </w:rPr>
        <w:t xml:space="preserve"> se</w:t>
      </w:r>
      <w:r w:rsidRPr="0063007C">
        <w:rPr>
          <w:rFonts w:ascii="Tahoma" w:hAnsi="Tahoma" w:cs="Tahoma"/>
          <w:sz w:val="24"/>
          <w:szCs w:val="24"/>
        </w:rPr>
        <w:t xml:space="preserve"> prilikom donošenja osporavanog </w:t>
      </w:r>
      <w:r w:rsidR="0063007C" w:rsidRPr="0063007C">
        <w:rPr>
          <w:rFonts w:ascii="Tahoma" w:hAnsi="Tahoma" w:cs="Tahoma"/>
          <w:sz w:val="24"/>
          <w:szCs w:val="24"/>
        </w:rPr>
        <w:t>akta pozvao na odredbu člana 26 Zakona o slobodnom pristupu informacijama</w:t>
      </w:r>
      <w:r w:rsidRPr="0063007C">
        <w:rPr>
          <w:rFonts w:ascii="Tahoma" w:hAnsi="Tahoma" w:cs="Tahoma"/>
          <w:sz w:val="24"/>
          <w:szCs w:val="24"/>
        </w:rPr>
        <w:t>.</w:t>
      </w:r>
    </w:p>
    <w:p w:rsidR="00DA7D22" w:rsidRDefault="00DA7D22" w:rsidP="00DA7D22">
      <w:pPr>
        <w:autoSpaceDE w:val="0"/>
        <w:autoSpaceDN w:val="0"/>
        <w:adjustRightInd w:val="0"/>
        <w:spacing w:after="0"/>
        <w:jc w:val="both"/>
        <w:rPr>
          <w:rFonts w:ascii="Tahoma" w:hAnsi="Tahoma" w:cs="Tahoma"/>
          <w:sz w:val="24"/>
          <w:szCs w:val="24"/>
        </w:rPr>
      </w:pPr>
    </w:p>
    <w:p w:rsidR="0063007C" w:rsidRPr="0060351A" w:rsidRDefault="0063007C" w:rsidP="00DA7D22">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 xml:space="preserve">Savjet Agencije je utvrdio da je žalba osnovana, pa je ista usvojena, a prvostepeni organ je dužan da u ponovnom postupku u roku od </w:t>
      </w:r>
      <w:r w:rsidR="00A05342">
        <w:rPr>
          <w:rFonts w:ascii="Tahoma" w:hAnsi="Tahoma" w:cs="Tahoma"/>
          <w:sz w:val="24"/>
          <w:szCs w:val="24"/>
        </w:rPr>
        <w:t>20</w:t>
      </w:r>
      <w:r w:rsidRPr="0060351A">
        <w:rPr>
          <w:rFonts w:ascii="Tahoma" w:hAnsi="Tahoma" w:cs="Tahoma"/>
          <w:sz w:val="24"/>
          <w:szCs w:val="24"/>
        </w:rPr>
        <w:t xml:space="preserve"> dana od dana prijema rješenja donese novo rješenje u kojem će pravilno primijeniti odredbe Zakona o slobodnom pristupu informacijama</w:t>
      </w:r>
      <w:r>
        <w:rPr>
          <w:rFonts w:ascii="Tahoma" w:hAnsi="Tahoma" w:cs="Tahoma"/>
          <w:sz w:val="24"/>
          <w:szCs w:val="24"/>
        </w:rPr>
        <w:t xml:space="preserve"> i</w:t>
      </w:r>
      <w:r w:rsidRPr="00A6523F">
        <w:rPr>
          <w:rFonts w:ascii="Tahoma" w:hAnsi="Tahoma" w:cs="Tahoma"/>
          <w:sz w:val="24"/>
          <w:szCs w:val="24"/>
        </w:rPr>
        <w:t xml:space="preserve"> </w:t>
      </w:r>
      <w:r w:rsidRPr="0060351A">
        <w:rPr>
          <w:rFonts w:ascii="Tahoma" w:hAnsi="Tahoma" w:cs="Tahoma"/>
          <w:sz w:val="24"/>
          <w:szCs w:val="24"/>
        </w:rPr>
        <w:t>Zakona o opštem upravnom postupku.</w:t>
      </w:r>
      <w:r w:rsidRPr="0060351A">
        <w:rPr>
          <w:rFonts w:ascii="Tahoma" w:eastAsia="Lucida Sans Unicode" w:hAnsi="Tahoma" w:cs="Tahoma"/>
          <w:color w:val="000000"/>
          <w:spacing w:val="-10"/>
          <w:sz w:val="24"/>
          <w:szCs w:val="24"/>
          <w:lang w:val="hr-HR"/>
        </w:rPr>
        <w:t xml:space="preserve"> </w:t>
      </w:r>
    </w:p>
    <w:p w:rsidR="0063007C" w:rsidRPr="0060351A" w:rsidRDefault="0063007C" w:rsidP="00DA7D22">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 prvostepen</w:t>
      </w:r>
      <w:r>
        <w:rPr>
          <w:rFonts w:ascii="Tahoma" w:hAnsi="Tahoma" w:cs="Tahoma"/>
          <w:sz w:val="24"/>
          <w:szCs w:val="24"/>
        </w:rPr>
        <w:t>i</w:t>
      </w:r>
      <w:r w:rsidRPr="0060351A">
        <w:rPr>
          <w:rFonts w:ascii="Tahoma" w:hAnsi="Tahoma" w:cs="Tahoma"/>
          <w:sz w:val="24"/>
          <w:szCs w:val="24"/>
        </w:rPr>
        <w:t xml:space="preserve"> </w:t>
      </w:r>
      <w:r>
        <w:rPr>
          <w:rFonts w:ascii="Tahoma" w:hAnsi="Tahoma" w:cs="Tahoma"/>
          <w:sz w:val="24"/>
          <w:szCs w:val="24"/>
        </w:rPr>
        <w:t>akt</w:t>
      </w:r>
      <w:r w:rsidRPr="0060351A">
        <w:rPr>
          <w:rFonts w:ascii="Tahoma" w:hAnsi="Tahoma" w:cs="Tahoma"/>
          <w:sz w:val="24"/>
          <w:szCs w:val="24"/>
        </w:rPr>
        <w:t>,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63007C" w:rsidRPr="0060351A" w:rsidRDefault="0063007C" w:rsidP="00DA7D22">
      <w:pPr>
        <w:jc w:val="both"/>
        <w:rPr>
          <w:rFonts w:ascii="Tahoma" w:hAnsi="Tahoma" w:cs="Tahoma"/>
          <w:sz w:val="24"/>
          <w:szCs w:val="24"/>
        </w:rPr>
      </w:pPr>
      <w:r w:rsidRPr="0060351A">
        <w:rPr>
          <w:rFonts w:ascii="Tahoma" w:hAnsi="Tahoma" w:cs="Tahoma"/>
          <w:sz w:val="24"/>
          <w:szCs w:val="24"/>
        </w:rPr>
        <w:t xml:space="preserve">Budući da je poništen </w:t>
      </w:r>
      <w:r>
        <w:rPr>
          <w:rFonts w:ascii="Tahoma" w:hAnsi="Tahoma" w:cs="Tahoma"/>
          <w:sz w:val="24"/>
          <w:szCs w:val="24"/>
        </w:rPr>
        <w:t>akt</w:t>
      </w:r>
      <w:r w:rsidRPr="0060351A">
        <w:rPr>
          <w:rFonts w:ascii="Tahoma" w:hAnsi="Tahoma" w:cs="Tahoma"/>
          <w:sz w:val="24"/>
          <w:szCs w:val="24"/>
        </w:rPr>
        <w:t xml:space="preserve"> prvostepenog organa i predmet vraćen na ponovno odlučivanje  stoga  upravni postupak nije okončan tako da se nijesu stekli uslovi za naknadu troškova postupka shodno članu 107 Zakona o opštem upravnom postupku.</w:t>
      </w:r>
    </w:p>
    <w:p w:rsidR="0063007C" w:rsidRPr="0060351A" w:rsidRDefault="0063007C" w:rsidP="00DA7D22">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E83453" w:rsidRPr="00A05342" w:rsidRDefault="0063007C" w:rsidP="00366B61">
      <w:pPr>
        <w:jc w:val="both"/>
        <w:rPr>
          <w:rFonts w:ascii="Tahoma" w:hAnsi="Tahoma" w:cs="Tahoma"/>
          <w:sz w:val="24"/>
          <w:szCs w:val="24"/>
          <w:lang w:val="sr-Latn-CS"/>
        </w:rPr>
      </w:pPr>
      <w:r w:rsidRPr="0060351A">
        <w:rPr>
          <w:rFonts w:ascii="Tahoma" w:hAnsi="Tahoma" w:cs="Tahoma"/>
          <w:sz w:val="24"/>
          <w:szCs w:val="24"/>
          <w:lang w:val="sr-Latn-CS"/>
        </w:rPr>
        <w:lastRenderedPageBreak/>
        <w:t>Sa iznijetih razloga, shodno članu 38 Zakona o slobodnom pristupu informacijama i člana 237 stav 2 Za</w:t>
      </w:r>
      <w:r>
        <w:rPr>
          <w:rFonts w:ascii="Tahoma" w:hAnsi="Tahoma" w:cs="Tahoma"/>
          <w:sz w:val="24"/>
          <w:szCs w:val="24"/>
          <w:lang w:val="sr-Latn-CS"/>
        </w:rPr>
        <w:t>kona o opštem upravnom postupku</w:t>
      </w:r>
      <w:r w:rsidRPr="0060351A">
        <w:rPr>
          <w:rFonts w:ascii="Tahoma" w:hAnsi="Tahoma" w:cs="Tahoma"/>
          <w:sz w:val="24"/>
          <w:szCs w:val="24"/>
          <w:lang w:val="sr-Latn-CS"/>
        </w:rPr>
        <w:t>,</w:t>
      </w:r>
      <w:r>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w:t>
      </w:r>
      <w:r w:rsidR="00A95CEF">
        <w:rPr>
          <w:rFonts w:ascii="Tahoma" w:hAnsi="Tahoma" w:cs="Tahoma"/>
          <w:sz w:val="24"/>
          <w:szCs w:val="24"/>
        </w:rPr>
        <w:t>krenuti Upravni spor u roku od 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E4B" w:rsidRDefault="00DE5E4B" w:rsidP="004C7646">
      <w:pPr>
        <w:spacing w:after="0" w:line="240" w:lineRule="auto"/>
      </w:pPr>
      <w:r>
        <w:separator/>
      </w:r>
    </w:p>
  </w:endnote>
  <w:endnote w:type="continuationSeparator" w:id="0">
    <w:p w:rsidR="00DE5E4B" w:rsidRDefault="00DE5E4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E4B" w:rsidRDefault="00DE5E4B" w:rsidP="004C7646">
      <w:pPr>
        <w:spacing w:after="0" w:line="240" w:lineRule="auto"/>
      </w:pPr>
      <w:r>
        <w:separator/>
      </w:r>
    </w:p>
  </w:footnote>
  <w:footnote w:type="continuationSeparator" w:id="0">
    <w:p w:rsidR="00DE5E4B" w:rsidRDefault="00DE5E4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E3"/>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0FC4"/>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514F"/>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C5D"/>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07D8"/>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632"/>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42FA"/>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490F"/>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07C"/>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4677B"/>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5342"/>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5CEF"/>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1D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A7D22"/>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5E4B"/>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453"/>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34B6"/>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0D6A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F9725-1F62-45A6-AC93-6D75AAC0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2674</Words>
  <Characters>15247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2017-11-21T08:57:00Z</cp:lastPrinted>
  <dcterms:created xsi:type="dcterms:W3CDTF">2019-02-22T07:53:00Z</dcterms:created>
  <dcterms:modified xsi:type="dcterms:W3CDTF">2019-06-07T06:13:00Z</dcterms:modified>
</cp:coreProperties>
</file>