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B40" w:rsidRPr="00EC35A2" w:rsidRDefault="005923B3" w:rsidP="00EC35A2">
      <w:pPr>
        <w:pStyle w:val="NoSpacing"/>
        <w:jc w:val="both"/>
        <w:rPr>
          <w:rFonts w:ascii="Tahoma" w:hAnsi="Tahoma" w:cs="Tahoma"/>
          <w:b/>
          <w:sz w:val="24"/>
        </w:rPr>
      </w:pPr>
      <w:r w:rsidRPr="00EC35A2">
        <w:rPr>
          <w:rFonts w:ascii="Tahoma" w:hAnsi="Tahoma" w:cs="Tahoma"/>
          <w:b/>
          <w:sz w:val="24"/>
        </w:rPr>
        <w:t>CRNA GORA</w:t>
      </w:r>
    </w:p>
    <w:p w:rsidR="002A2B40" w:rsidRPr="00EC35A2" w:rsidRDefault="005923B3" w:rsidP="00EC35A2">
      <w:pPr>
        <w:pStyle w:val="NoSpacing"/>
        <w:jc w:val="both"/>
        <w:rPr>
          <w:rFonts w:ascii="Tahoma" w:hAnsi="Tahoma" w:cs="Tahoma"/>
          <w:b/>
          <w:sz w:val="24"/>
        </w:rPr>
      </w:pPr>
      <w:r w:rsidRPr="00EC35A2">
        <w:rPr>
          <w:rFonts w:ascii="Tahoma" w:hAnsi="Tahoma" w:cs="Tahoma"/>
          <w:b/>
          <w:sz w:val="24"/>
        </w:rPr>
        <w:t>AGENCIJA ZA ZAŠTITU LIČNIH PODATAKA</w:t>
      </w:r>
    </w:p>
    <w:p w:rsidR="002A2B40" w:rsidRPr="00EC35A2" w:rsidRDefault="005923B3" w:rsidP="00EC35A2">
      <w:pPr>
        <w:pStyle w:val="NoSpacing"/>
        <w:jc w:val="both"/>
        <w:rPr>
          <w:rFonts w:ascii="Tahoma" w:hAnsi="Tahoma" w:cs="Tahoma"/>
          <w:b/>
          <w:sz w:val="24"/>
        </w:rPr>
      </w:pPr>
      <w:r w:rsidRPr="00EC35A2">
        <w:rPr>
          <w:rFonts w:ascii="Tahoma" w:hAnsi="Tahoma" w:cs="Tahoma"/>
          <w:b/>
          <w:sz w:val="24"/>
        </w:rPr>
        <w:t>SLOBODAN PRISTUP INFORMACIJAMA</w:t>
      </w:r>
    </w:p>
    <w:p w:rsidR="00EC35A2" w:rsidRDefault="007A2509" w:rsidP="00EC35A2">
      <w:pPr>
        <w:pStyle w:val="NoSpacing"/>
        <w:jc w:val="both"/>
        <w:rPr>
          <w:rFonts w:ascii="Tahoma" w:hAnsi="Tahoma" w:cs="Tahoma"/>
          <w:b/>
          <w:sz w:val="24"/>
        </w:rPr>
      </w:pPr>
      <w:r w:rsidRPr="00EC35A2">
        <w:rPr>
          <w:rFonts w:ascii="Tahoma" w:hAnsi="Tahoma" w:cs="Tahoma"/>
          <w:b/>
          <w:sz w:val="24"/>
        </w:rPr>
        <w:t>Br.</w:t>
      </w:r>
      <w:r w:rsidR="00EC35A2">
        <w:rPr>
          <w:rFonts w:ascii="Tahoma" w:hAnsi="Tahoma" w:cs="Tahoma"/>
          <w:b/>
          <w:sz w:val="24"/>
        </w:rPr>
        <w:t xml:space="preserve"> </w:t>
      </w:r>
      <w:r w:rsidRPr="00EC35A2">
        <w:rPr>
          <w:rFonts w:ascii="Tahoma" w:hAnsi="Tahoma" w:cs="Tahoma"/>
          <w:b/>
          <w:sz w:val="24"/>
        </w:rPr>
        <w:t xml:space="preserve">UP II 07-30-1611-3/16 </w:t>
      </w:r>
    </w:p>
    <w:p w:rsidR="002A2B40" w:rsidRDefault="007A2509" w:rsidP="00EC35A2">
      <w:pPr>
        <w:pStyle w:val="NoSpacing"/>
        <w:jc w:val="both"/>
        <w:rPr>
          <w:rFonts w:ascii="Tahoma" w:hAnsi="Tahoma" w:cs="Tahoma"/>
          <w:b/>
          <w:sz w:val="24"/>
        </w:rPr>
      </w:pPr>
      <w:r w:rsidRPr="00EC35A2">
        <w:rPr>
          <w:rFonts w:ascii="Tahoma" w:hAnsi="Tahoma" w:cs="Tahoma"/>
          <w:b/>
          <w:sz w:val="24"/>
        </w:rPr>
        <w:t>Podgorica,28.01.2019</w:t>
      </w:r>
      <w:r w:rsidR="005923B3" w:rsidRPr="00EC35A2">
        <w:rPr>
          <w:rFonts w:ascii="Tahoma" w:hAnsi="Tahoma" w:cs="Tahoma"/>
          <w:b/>
          <w:sz w:val="24"/>
        </w:rPr>
        <w:t>.godine</w:t>
      </w:r>
    </w:p>
    <w:p w:rsidR="00EC35A2" w:rsidRPr="00EC35A2" w:rsidRDefault="00EC35A2" w:rsidP="00EC35A2">
      <w:pPr>
        <w:pStyle w:val="NoSpacing"/>
        <w:jc w:val="both"/>
        <w:rPr>
          <w:rFonts w:ascii="Tahoma" w:hAnsi="Tahoma" w:cs="Tahoma"/>
          <w:b/>
          <w:sz w:val="24"/>
        </w:rPr>
      </w:pPr>
    </w:p>
    <w:p w:rsidR="002A2B40" w:rsidRPr="00EC35A2" w:rsidRDefault="005923B3" w:rsidP="00EC35A2">
      <w:pPr>
        <w:pStyle w:val="NoSpacing"/>
        <w:jc w:val="both"/>
        <w:rPr>
          <w:rFonts w:ascii="Tahoma" w:hAnsi="Tahoma" w:cs="Tahoma"/>
          <w:sz w:val="24"/>
        </w:rPr>
      </w:pPr>
      <w:r w:rsidRPr="00EC35A2">
        <w:rPr>
          <w:rFonts w:ascii="Tahoma" w:hAnsi="Tahoma" w:cs="Tahoma"/>
          <w:sz w:val="24"/>
        </w:rPr>
        <w:t>Agencija za zaštitu ličnih podataka i slobodan pristup informacijama-Savjet Agencije, rješavajući po žalbi NVO Mans br. 16/96847 od 14.09.2016. godine, koga zastupa Veselin Radulović, advokat iz Podgorice, radi poništaja rješenja Investiciono- razvojnog fonda Crne Gore A.D. br.05-17003-5060/1 od 29.08.2016.godine, na osnovu člana 38 Zakona</w:t>
      </w:r>
    </w:p>
    <w:p w:rsidR="002A2B40" w:rsidRDefault="00EC35A2" w:rsidP="00EC35A2">
      <w:pPr>
        <w:pStyle w:val="NoSpacing"/>
        <w:jc w:val="both"/>
        <w:rPr>
          <w:rFonts w:ascii="Tahoma" w:hAnsi="Tahoma" w:cs="Tahoma"/>
          <w:sz w:val="24"/>
        </w:rPr>
      </w:pPr>
      <w:r>
        <w:rPr>
          <w:rFonts w:ascii="Tahoma" w:hAnsi="Tahoma" w:cs="Tahoma"/>
          <w:sz w:val="24"/>
        </w:rPr>
        <w:t xml:space="preserve">o </w:t>
      </w:r>
      <w:r w:rsidR="005923B3" w:rsidRPr="00EC35A2">
        <w:rPr>
          <w:rFonts w:ascii="Tahoma" w:hAnsi="Tahoma" w:cs="Tahoma"/>
          <w:sz w:val="24"/>
        </w:rPr>
        <w:t>slobodnom pristupu informacijama ("SI.list C</w:t>
      </w:r>
      <w:r w:rsidR="007A2509" w:rsidRPr="00EC35A2">
        <w:rPr>
          <w:rFonts w:ascii="Tahoma" w:hAnsi="Tahoma" w:cs="Tahoma"/>
          <w:sz w:val="24"/>
        </w:rPr>
        <w:t>rne Gore", br.44/12) i člana 237 stav 2 i člana 256</w:t>
      </w:r>
      <w:r w:rsidR="005923B3" w:rsidRPr="00EC35A2">
        <w:rPr>
          <w:rFonts w:ascii="Tahoma" w:hAnsi="Tahoma" w:cs="Tahoma"/>
          <w:sz w:val="24"/>
        </w:rPr>
        <w:t xml:space="preserve"> Zakona o opštem upravnom postupku ("SI.list Crne Gore", br.60/03, 73/10 i 32/11) je na sjednici održanoj dana </w:t>
      </w:r>
      <w:r w:rsidR="007A2509" w:rsidRPr="00EC35A2">
        <w:rPr>
          <w:rFonts w:ascii="Tahoma" w:hAnsi="Tahoma" w:cs="Tahoma"/>
          <w:sz w:val="24"/>
        </w:rPr>
        <w:t>02.10.2018</w:t>
      </w:r>
      <w:r w:rsidR="005923B3" w:rsidRPr="00EC35A2">
        <w:rPr>
          <w:rFonts w:ascii="Tahoma" w:hAnsi="Tahoma" w:cs="Tahoma"/>
          <w:sz w:val="24"/>
        </w:rPr>
        <w:t>. godine donio:</w:t>
      </w:r>
    </w:p>
    <w:p w:rsidR="00EC35A2" w:rsidRPr="00EC35A2" w:rsidRDefault="00EC35A2" w:rsidP="00EC35A2">
      <w:pPr>
        <w:pStyle w:val="NoSpacing"/>
        <w:jc w:val="both"/>
        <w:rPr>
          <w:rFonts w:ascii="Tahoma" w:hAnsi="Tahoma" w:cs="Tahoma"/>
          <w:sz w:val="24"/>
        </w:rPr>
      </w:pPr>
    </w:p>
    <w:p w:rsidR="002A2B40" w:rsidRDefault="00EC35A2" w:rsidP="00EC35A2">
      <w:pPr>
        <w:pStyle w:val="NoSpacing"/>
        <w:jc w:val="center"/>
        <w:rPr>
          <w:rFonts w:ascii="Tahoma" w:hAnsi="Tahoma" w:cs="Tahoma"/>
          <w:b/>
          <w:color w:val="000000"/>
          <w:sz w:val="24"/>
          <w:szCs w:val="24"/>
          <w:lang w:val="hr-HR"/>
        </w:rPr>
      </w:pPr>
      <w:r w:rsidRPr="00EC35A2">
        <w:rPr>
          <w:rFonts w:ascii="Tahoma" w:hAnsi="Tahoma" w:cs="Tahoma"/>
          <w:b/>
          <w:sz w:val="24"/>
          <w:szCs w:val="24"/>
        </w:rPr>
        <w:t>R J E Š</w:t>
      </w:r>
      <w:r w:rsidR="005923B3" w:rsidRPr="00EC35A2">
        <w:rPr>
          <w:rFonts w:ascii="Tahoma" w:hAnsi="Tahoma" w:cs="Tahoma"/>
          <w:b/>
          <w:color w:val="000000"/>
          <w:sz w:val="24"/>
          <w:szCs w:val="24"/>
          <w:lang w:val="hr-HR"/>
        </w:rPr>
        <w:t xml:space="preserve"> E N J E</w:t>
      </w:r>
    </w:p>
    <w:p w:rsidR="00EC35A2" w:rsidRPr="00EC35A2" w:rsidRDefault="00EC35A2" w:rsidP="00EC35A2">
      <w:pPr>
        <w:pStyle w:val="NoSpacing"/>
        <w:jc w:val="center"/>
        <w:rPr>
          <w:rFonts w:ascii="Tahoma" w:hAnsi="Tahoma" w:cs="Tahoma"/>
          <w:b/>
          <w:sz w:val="24"/>
          <w:szCs w:val="24"/>
        </w:rPr>
      </w:pPr>
    </w:p>
    <w:p w:rsidR="007A2509" w:rsidRPr="00EC35A2" w:rsidRDefault="007A2509" w:rsidP="00EC35A2">
      <w:pPr>
        <w:pStyle w:val="NoSpacing"/>
        <w:jc w:val="both"/>
        <w:rPr>
          <w:rFonts w:ascii="Tahoma" w:hAnsi="Tahoma" w:cs="Tahoma"/>
          <w:sz w:val="24"/>
        </w:rPr>
      </w:pPr>
      <w:r w:rsidRPr="00EC35A2">
        <w:rPr>
          <w:rFonts w:ascii="Tahoma" w:hAnsi="Tahoma" w:cs="Tahoma"/>
          <w:sz w:val="24"/>
        </w:rPr>
        <w:t>Poništava se rješenje Savjeta Agencije UP II 07-30-1611-2/16 od 04.08.2017.godine.</w:t>
      </w:r>
    </w:p>
    <w:p w:rsidR="007A2509" w:rsidRPr="00EC35A2" w:rsidRDefault="007A2509" w:rsidP="00EC35A2">
      <w:pPr>
        <w:pStyle w:val="NoSpacing"/>
        <w:jc w:val="both"/>
        <w:rPr>
          <w:rFonts w:ascii="Tahoma" w:hAnsi="Tahoma" w:cs="Tahoma"/>
          <w:sz w:val="24"/>
        </w:rPr>
      </w:pPr>
    </w:p>
    <w:p w:rsidR="002A2B40" w:rsidRPr="00EC35A2" w:rsidRDefault="005923B3" w:rsidP="00EC35A2">
      <w:pPr>
        <w:pStyle w:val="NoSpacing"/>
        <w:jc w:val="both"/>
        <w:rPr>
          <w:rFonts w:ascii="Tahoma" w:hAnsi="Tahoma" w:cs="Tahoma"/>
          <w:sz w:val="24"/>
        </w:rPr>
      </w:pPr>
      <w:r w:rsidRPr="00EC35A2">
        <w:rPr>
          <w:rFonts w:ascii="Tahoma" w:hAnsi="Tahoma" w:cs="Tahoma"/>
          <w:color w:val="000000"/>
          <w:sz w:val="24"/>
          <w:lang w:val="hr-HR"/>
        </w:rPr>
        <w:t>Žalba se usvaja.</w:t>
      </w:r>
    </w:p>
    <w:p w:rsidR="002A2B40" w:rsidRPr="00EC35A2" w:rsidRDefault="005923B3" w:rsidP="00EC35A2">
      <w:pPr>
        <w:pStyle w:val="NoSpacing"/>
        <w:jc w:val="both"/>
        <w:rPr>
          <w:rFonts w:ascii="Tahoma" w:hAnsi="Tahoma" w:cs="Tahoma"/>
          <w:sz w:val="24"/>
        </w:rPr>
      </w:pPr>
      <w:r w:rsidRPr="00EC35A2">
        <w:rPr>
          <w:rFonts w:ascii="Tahoma" w:hAnsi="Tahoma" w:cs="Tahoma"/>
          <w:color w:val="000000"/>
          <w:sz w:val="24"/>
          <w:lang w:val="hr-HR"/>
        </w:rPr>
        <w:t>Poništava se rješenje Investiciono - razvojnog fonda Crne Gore br.05-17003-5060/1 od</w:t>
      </w:r>
      <w:r w:rsidR="00EC35A2" w:rsidRPr="00EC35A2">
        <w:rPr>
          <w:rFonts w:ascii="Tahoma" w:hAnsi="Tahoma" w:cs="Tahoma"/>
          <w:sz w:val="24"/>
        </w:rPr>
        <w:t xml:space="preserve"> 29.08.2016.</w:t>
      </w:r>
      <w:r w:rsidRPr="00EC35A2">
        <w:rPr>
          <w:rFonts w:ascii="Tahoma" w:hAnsi="Tahoma" w:cs="Tahoma"/>
          <w:color w:val="000000"/>
          <w:sz w:val="24"/>
          <w:lang w:val="hr-HR"/>
        </w:rPr>
        <w:t>godine</w:t>
      </w:r>
    </w:p>
    <w:p w:rsidR="007A2509" w:rsidRDefault="007A2509" w:rsidP="00EC35A2">
      <w:pPr>
        <w:pStyle w:val="NoSpacing"/>
        <w:jc w:val="both"/>
        <w:rPr>
          <w:rFonts w:ascii="Tahoma" w:hAnsi="Tahoma" w:cs="Tahoma"/>
          <w:sz w:val="24"/>
        </w:rPr>
      </w:pPr>
      <w:r w:rsidRPr="00EC35A2">
        <w:rPr>
          <w:rFonts w:ascii="Tahoma" w:hAnsi="Tahoma" w:cs="Tahoma"/>
          <w:sz w:val="24"/>
        </w:rPr>
        <w:t>Predmet se dostavlja prvostepenom organu na ponovni postupak i odlučivanje.</w:t>
      </w:r>
    </w:p>
    <w:p w:rsidR="00EC35A2" w:rsidRPr="00EC35A2" w:rsidRDefault="00EC35A2" w:rsidP="00EC35A2">
      <w:pPr>
        <w:pStyle w:val="NoSpacing"/>
        <w:jc w:val="both"/>
        <w:rPr>
          <w:rFonts w:ascii="Tahoma" w:hAnsi="Tahoma" w:cs="Tahoma"/>
          <w:sz w:val="24"/>
        </w:rPr>
      </w:pPr>
    </w:p>
    <w:p w:rsidR="002A2B40" w:rsidRDefault="00EC35A2" w:rsidP="00EC35A2">
      <w:pPr>
        <w:pStyle w:val="NoSpacing"/>
        <w:jc w:val="center"/>
        <w:rPr>
          <w:rStyle w:val="Bodytext4Spacing3pt"/>
          <w:sz w:val="24"/>
          <w:szCs w:val="24"/>
        </w:rPr>
      </w:pPr>
      <w:r w:rsidRPr="00EC35A2">
        <w:rPr>
          <w:rStyle w:val="Bodytext4Spacing3pt"/>
          <w:bCs w:val="0"/>
          <w:sz w:val="24"/>
          <w:szCs w:val="24"/>
        </w:rPr>
        <w:t>Obrazlože</w:t>
      </w:r>
      <w:r w:rsidR="005923B3" w:rsidRPr="00EC35A2">
        <w:rPr>
          <w:rStyle w:val="Bodytext4Spacing3pt"/>
          <w:sz w:val="24"/>
          <w:szCs w:val="24"/>
        </w:rPr>
        <w:t>nje</w:t>
      </w:r>
    </w:p>
    <w:p w:rsidR="00EC35A2" w:rsidRPr="00EC35A2" w:rsidRDefault="00EC35A2" w:rsidP="00EC35A2">
      <w:pPr>
        <w:pStyle w:val="NoSpacing"/>
        <w:jc w:val="center"/>
        <w:rPr>
          <w:rFonts w:ascii="Tahoma" w:hAnsi="Tahoma" w:cs="Tahoma"/>
          <w:szCs w:val="24"/>
        </w:rPr>
      </w:pPr>
    </w:p>
    <w:p w:rsidR="007A2509" w:rsidRPr="00EC35A2" w:rsidRDefault="007A2509" w:rsidP="00EC35A2">
      <w:pPr>
        <w:pStyle w:val="NoSpacing"/>
        <w:jc w:val="both"/>
        <w:rPr>
          <w:rFonts w:ascii="Tahoma" w:hAnsi="Tahoma" w:cs="Tahoma"/>
          <w:sz w:val="24"/>
          <w:szCs w:val="24"/>
        </w:rPr>
      </w:pPr>
      <w:r w:rsidRPr="00EC35A2">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7A2509" w:rsidRPr="00EC35A2" w:rsidRDefault="007A2509" w:rsidP="00EC35A2">
      <w:pPr>
        <w:pStyle w:val="NoSpacing"/>
        <w:jc w:val="both"/>
        <w:rPr>
          <w:rFonts w:ascii="Tahoma" w:hAnsi="Tahoma" w:cs="Tahoma"/>
          <w:sz w:val="24"/>
          <w:szCs w:val="24"/>
          <w:lang w:val="sr-Latn-CS"/>
        </w:rPr>
      </w:pPr>
      <w:r w:rsidRPr="00EC35A2">
        <w:rPr>
          <w:rFonts w:ascii="Tahoma" w:hAnsi="Tahoma" w:cs="Tahoma"/>
          <w:sz w:val="24"/>
          <w:szCs w:val="24"/>
        </w:rPr>
        <w:t>Savjet Agencije je na sjednici 04.08</w:t>
      </w:r>
      <w:r w:rsidRPr="00EC35A2">
        <w:rPr>
          <w:rFonts w:ascii="Tahoma" w:hAnsi="Tahoma" w:cs="Tahoma"/>
          <w:sz w:val="24"/>
          <w:szCs w:val="24"/>
          <w:lang w:val="sr-Latn-CS"/>
        </w:rPr>
        <w:t xml:space="preserve">.2017 </w:t>
      </w:r>
      <w:r w:rsidRPr="00EC35A2">
        <w:rPr>
          <w:rFonts w:ascii="Tahoma" w:hAnsi="Tahoma" w:cs="Tahoma"/>
          <w:sz w:val="24"/>
          <w:szCs w:val="24"/>
        </w:rPr>
        <w:t>i odlučio da usvoji žalbu, te da vrati predmet prvostepenom organu na ponovni postupak.</w:t>
      </w:r>
    </w:p>
    <w:p w:rsidR="002A2B40" w:rsidRPr="00EC35A2" w:rsidRDefault="005923B3" w:rsidP="00EC35A2">
      <w:pPr>
        <w:pStyle w:val="NoSpacing"/>
        <w:jc w:val="both"/>
        <w:rPr>
          <w:rFonts w:ascii="Tahoma" w:hAnsi="Tahoma" w:cs="Tahoma"/>
          <w:sz w:val="24"/>
          <w:szCs w:val="24"/>
        </w:rPr>
      </w:pPr>
      <w:r w:rsidRPr="00EC35A2">
        <w:rPr>
          <w:rFonts w:ascii="Tahoma" w:hAnsi="Tahoma" w:cs="Tahoma"/>
          <w:color w:val="000000"/>
          <w:sz w:val="24"/>
          <w:szCs w:val="24"/>
          <w:lang w:val="hr-HR"/>
        </w:rPr>
        <w:t xml:space="preserve">Prvostepeni organ je postupajući po zahtjevu br. 16/96847 od 15.08.2016.godine donio rješenje br.05-17003-5060/1 kojim je odlučeno na način: "Odbija se Zahtjev za pristup informaciji Mreže za afirmaciju nevladinog sektora - MANS br. 16/96847 od 15.08.2016. godine." U obrazloženju osporenog rješenja prvostepeni organ navodi da je Mreža za afirmaciju nevladinog sektora - MANS, sa adresom Dalmatinska 188 Podgorica, podnijela dana 29.08.2016.godine, Zahtjev za pristup informaciji br. 16/96847, kojim se traže kopije: Analitičkih kartica svih računa za period od 25/07/2016 do 31/07/2016. godine, dokument treba da sadrži najmanje: broj konta/naloga, naziv dobavljača, datum plaćanja, iznos plaćanja i svrhu plaćanja. Rješavajući po predmetnom zahtjevu, prvostepeni organ je isti odbio navodeći sljedeće razloge, naime u postupku po predmetnom Zahtjevu, prvostepeni organ je se pozvao na član 28 stav 3 Zakona o finansiranju političkih subjekata i izbornik kampanja kojim je utvrdjeno da sve budžetske potrošačke jednicine , na državnom i lokalnom nivou, su dužne da od dana raspisivanja do dana održavanja izbora, </w:t>
      </w:r>
      <w:r w:rsidRPr="00EC35A2">
        <w:rPr>
          <w:rFonts w:ascii="Tahoma" w:hAnsi="Tahoma" w:cs="Tahoma"/>
          <w:color w:val="000000"/>
          <w:sz w:val="24"/>
          <w:szCs w:val="24"/>
          <w:lang w:val="hr-HR"/>
        </w:rPr>
        <w:lastRenderedPageBreak/>
        <w:t>kao i mjesec dana nakon održavanja izbora sedmodnevno na svojoj intenet stranici objavljuju analitičke kartice sa svih računa koje imaju u svom posjedu i dostvaljaju ih radnom tijelu Skupštine nadležne za praćanje primjene zakona i drugih propisa od značaja za izgradnju povjerenja u izborni proces. Članom 5 istog Zakona je propisano da su javni izvori u smislu tog zakona sredstva koja se izdvajaju iz budžeta Crne Gore i lokalne samouprave.U daljem u bitnom navodi da je odredbom člana 11 Zakona o Investiciono razvojnom fondu Crne srestva se stiču za poslovanje fonda: 1. iz prihoda ostvarenih poslovanjem Fonda , 2. prodajom akcija i dijela portfelja Fonda , 3. iz ostatka likvidacione ili stečajne mase, prodajom preostale imovine u slučaju likvidacije ili stečaja sprovedenog nad društvom u vlasništvu Fonda ,4.iz dobiti društva u kojima Fond ima akacije ili udjele, 5.izdavanjem hartija od vrijednosti , 6.iz anuiteta po osnovu kreditnih plasmana i investicione aktivnosti Fonda;7. uzimanjem kredita i pozajmica u želji i inostrastvu , kao prijem donacija , 8.iz drugih izvora u skladu sa zakonom. Iz citiranog člana Zakona o Investicino razvojnom fondu , a u vezi sa članom 5 Zakona o finansiranju polotički partija i izbornih kampanja nevosmisleno je da se Inevsticiono razvojni fond Crne Gore AD ne finansira iz Budžeta Crne Gore i Budžeta lokalne samouprave. Takođe odredbama Zakona o Budžetu Crne Gore za 2016.godinu nije predviđena stavka finansiranja IRF CG A.D. po bilo kom osnovu.</w:t>
      </w:r>
    </w:p>
    <w:p w:rsidR="002A2B40" w:rsidRPr="00EC35A2" w:rsidRDefault="005923B3" w:rsidP="00EC35A2">
      <w:pPr>
        <w:pStyle w:val="NoSpacing"/>
        <w:jc w:val="both"/>
        <w:rPr>
          <w:rFonts w:ascii="Tahoma" w:hAnsi="Tahoma" w:cs="Tahoma"/>
          <w:sz w:val="24"/>
          <w:szCs w:val="24"/>
        </w:rPr>
      </w:pPr>
      <w:r w:rsidRPr="00EC35A2">
        <w:rPr>
          <w:rFonts w:ascii="Tahoma" w:hAnsi="Tahoma" w:cs="Tahoma"/>
          <w:color w:val="000000"/>
          <w:sz w:val="24"/>
          <w:szCs w:val="24"/>
          <w:lang w:val="hr-HR"/>
        </w:rPr>
        <w:t>Imajući u vidu navedeno, Investiciono-razvojni fond Crne Gore A.D. nije u obavezi da objavljuje analitičke kartice sa svih računa koje ima jer je Investiciono-razvojni fond Crne Gore A.D. akcionarsko društvo koje posluje po tržišnim principima, a to znači da na međunarodnom tržištu kapitala obezbjeđuje kreditna sredstva i iz sopstvenih prihoda pokriva sve troškove poslovanja, pa prema tome IRF CG A.D. nije ni budžetska, ni lokalna potrošačka jedinica, niti je korisnik budžetskih sredstava.</w:t>
      </w:r>
    </w:p>
    <w:p w:rsidR="002A2B40" w:rsidRPr="00EC35A2" w:rsidRDefault="005923B3" w:rsidP="00EC35A2">
      <w:pPr>
        <w:pStyle w:val="NoSpacing"/>
        <w:jc w:val="both"/>
        <w:rPr>
          <w:rFonts w:ascii="Tahoma" w:hAnsi="Tahoma" w:cs="Tahoma"/>
          <w:sz w:val="24"/>
          <w:szCs w:val="24"/>
        </w:rPr>
      </w:pPr>
      <w:r w:rsidRPr="00EC35A2">
        <w:rPr>
          <w:rFonts w:ascii="Tahoma" w:hAnsi="Tahoma" w:cs="Tahoma"/>
          <w:color w:val="000000"/>
          <w:sz w:val="24"/>
          <w:szCs w:val="24"/>
          <w:lang w:val="hr-HR"/>
        </w:rPr>
        <w:t xml:space="preserve">Protiv ovog rješenja u zakonskom roku pod.nosilac zahtjeva je uložio žalbu. U žalbi se kaže da se Rješenje pobija zbog pogrešne primjene materijalnog prava, povrede pravila postupka te nepotpuno i nepravilno utvrđenog činjeničnog stanja. U obrazloženju žalilac navodi da je dana 15.avgusta 2016. godine podnijeo zahtjev za slobodan pristup informacijama kojim je od prvostepenog organa zatražio dostavljanje kopije:Analitičkih kartica svih računa za period od 25/07/2016 do 31/07/2016, dokument treba da sadrži najmanje: broj konta/naloga, naziv dobavljača, datum plaćanja, iznos plaćanja i svrhu plaćanja. Dana 31. avgusta 2016. godine prvostepeni organ dostavlja rješenje broj: 05- 17003-5060/1 od dana 29. avgusta 2016. godine kojim odbija zahtjev.Žalilac osporava navedeno rješenje prvostepenog organa jer je donošenjem istog prvostepeni organ pogrešno primijenio materijalno pravo, te počinio povredu pravila postupka. Imajući u vidu navedeno, jasno je da je prvostepeni organ bio dužan dostaviti informacije tražene predmetnim zahtjevom, a shodno odredbi člana 13 Zakona o slobodnom pristupu informacijama. 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dok su u daljem tekstu navedeni podaci o objavljivanju kao smernice, pa su iste sporedne i ne predstavljaju suštinu zahtjeva. Shodno tome, prvostepeni organ nije uopšte odlučivao o suštini pravne stvari, odnosno zahtjeva, te se izjasnio da li u svom posjedu ima tražene informacije, već je odbio pristup istima, dajući irelevantne navode koji se ne mogu smatrati valjanim razlozima za takvo </w:t>
      </w:r>
      <w:r w:rsidRPr="00EC35A2">
        <w:rPr>
          <w:rFonts w:ascii="Tahoma" w:hAnsi="Tahoma" w:cs="Tahoma"/>
          <w:color w:val="000000"/>
          <w:sz w:val="24"/>
          <w:szCs w:val="24"/>
          <w:lang w:val="hr-HR"/>
        </w:rPr>
        <w:lastRenderedPageBreak/>
        <w:t xml:space="preserve">odlučivanje. 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pristup traženim informacijama. Prema tome, žalilac smatra da su bez </w:t>
      </w:r>
      <w:r w:rsidRPr="00EC35A2">
        <w:rPr>
          <w:rStyle w:val="Bodytext12pt"/>
          <w:sz w:val="28"/>
        </w:rPr>
        <w:t xml:space="preserve">značaja </w:t>
      </w:r>
      <w:r w:rsidRPr="00EC35A2">
        <w:rPr>
          <w:rFonts w:ascii="Tahoma" w:hAnsi="Tahoma" w:cs="Tahoma"/>
          <w:color w:val="000000"/>
          <w:sz w:val="24"/>
          <w:szCs w:val="24"/>
          <w:lang w:val="hr-HR"/>
        </w:rPr>
        <w:t>dati navodi prvostepenog organa, posebno jer se isti ne izjašnjava o analitičkim karticama koje nesumnjivo ima u svom posjedu, pa je nejasno zašto istima ograničava pristup, jer je shodno odredbi člana 13 Zakona o slobodnom pristupu informacijama iste bio dužan i dostaviti, uprkos smjernicama navedenim u zahtjevu za koje tvrdi da se ne odnose na njega, a koje su u konkretnom slučaju sporedne i ne predstavljaju suštinu zahtjeva. Naime,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objavljuje u skladu sa istim zakonom. Žalilac u bitnom navodi da prvostepeni organ ne funkcioniše nezavisno od države, već da u dijelu finansiranja navedenom u članu 11 stav 1 tačka 7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Takođe, kako prvostepeni organ ima zajedničke projekte sa državnim organima, kao na primjer sa Ministarstom poljoprivrede i ruralnog razvoja, Ministarstvom ekonomije, o čemu u prilogu dostavljaju dokaz, jasno je da isti koristi dio budžetskih sredstava u okviru svog poslovanja. 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sa navedenim zakonski odredbama.Naime, žalilac navodi da shodno članu 30 stav 3 Zakona o slobodnom pristupu informacijama, rješenje kojim se odbija zahtjev za pristup informacijama sadrži detaljno obrazloženje razloga zbog kojih se ne dozvoljava pristup traženoj informaciji. Ovakav stav odreden je i članom 203 stav</w:t>
      </w:r>
    </w:p>
    <w:p w:rsidR="002A2B40" w:rsidRPr="00EC35A2" w:rsidRDefault="005923B3" w:rsidP="00EC35A2">
      <w:pPr>
        <w:pStyle w:val="NoSpacing"/>
        <w:jc w:val="both"/>
        <w:rPr>
          <w:rFonts w:ascii="Tahoma" w:hAnsi="Tahoma" w:cs="Tahoma"/>
          <w:sz w:val="24"/>
          <w:szCs w:val="24"/>
        </w:rPr>
      </w:pPr>
      <w:r w:rsidRPr="00EC35A2">
        <w:rPr>
          <w:rFonts w:ascii="Tahoma" w:hAnsi="Tahoma" w:cs="Tahoma"/>
          <w:color w:val="000000"/>
          <w:sz w:val="24"/>
          <w:szCs w:val="24"/>
          <w:lang w:val="hr-HR"/>
        </w:rPr>
        <w:t xml:space="preserve">Zakona o opštem upravnom postupku kojim je propisano da obrazloženje, između ostalog, sadrži utvrđeno činjenično stanje, razloge zbog kojih nije uvažen koji od zahtjeva stranke, materijalne propise i razloge koji, s obzirom na utvrđeno činjenično stanje, upućuju na </w:t>
      </w:r>
      <w:r w:rsidRPr="00EC35A2">
        <w:rPr>
          <w:rFonts w:ascii="Tahoma" w:hAnsi="Tahoma" w:cs="Tahoma"/>
          <w:color w:val="000000"/>
          <w:sz w:val="24"/>
          <w:szCs w:val="24"/>
          <w:lang w:val="hr-HR"/>
        </w:rPr>
        <w:lastRenderedPageBreak/>
        <w:t>rješenje kakvo je dato u dispozitivu. Osporeno rješenje ne sadrži utvrđeno činjenično stanje, nijesu navedeni razlozi zbog kojih nije uvažen zahtjev žalioca, kao ni razlozi koji bi upućivali na pravilnu primjenu materijalnog prava, što nedvosmisleno ukazuje na povredu pravila postupka i na nezakonitost osporenog rješenja. Shodno tome, sa stanovišta žalioca isto je nerazumljivo i nezakonito, čime je zahvaćeno bitnom povredom pravila postupka iz člana 226 stav 2 tačka 7 Zakona o opštem upravnom postupku, jer nedostatak valjanog obrazloženja onemogućava uopšte utvrđivanje zakonitosti i pravilnosti rješenja.Predlaže da Savjet Agencije za zaštitu ličnih podataka i slobodan pristup informacijama poništi rješenje Investiciono-razvonog fonda Crne Gore A.D. broj: br.05-17003-5060/1 od 29.08.2016.godine i meritorno odluči po žalbi.</w:t>
      </w:r>
    </w:p>
    <w:p w:rsidR="002A2B40" w:rsidRPr="00EC35A2" w:rsidRDefault="005923B3" w:rsidP="00EC35A2">
      <w:pPr>
        <w:pStyle w:val="NoSpacing"/>
        <w:jc w:val="both"/>
        <w:rPr>
          <w:rFonts w:ascii="Tahoma" w:hAnsi="Tahoma" w:cs="Tahoma"/>
          <w:sz w:val="24"/>
          <w:szCs w:val="24"/>
        </w:rPr>
      </w:pPr>
      <w:r w:rsidRPr="00EC35A2">
        <w:rPr>
          <w:rFonts w:ascii="Tahoma" w:hAnsi="Tahoma" w:cs="Tahoma"/>
          <w:color w:val="000000"/>
          <w:sz w:val="24"/>
          <w:szCs w:val="24"/>
          <w:lang w:val="hr-HR"/>
        </w:rPr>
        <w:t>Prvostepeni organ dostavio je odgovor na žalbu br. 05-17003-5435/1 od 19.09.2016. godine. U odnosu na navode iz žalbe prvostepeni organ je naveo da je dana</w:t>
      </w:r>
    </w:p>
    <w:p w:rsidR="002A2B40" w:rsidRPr="00EC35A2" w:rsidRDefault="005923B3" w:rsidP="00EC35A2">
      <w:pPr>
        <w:pStyle w:val="NoSpacing"/>
        <w:jc w:val="both"/>
        <w:rPr>
          <w:rFonts w:ascii="Tahoma" w:hAnsi="Tahoma" w:cs="Tahoma"/>
          <w:sz w:val="24"/>
          <w:szCs w:val="24"/>
        </w:rPr>
      </w:pPr>
      <w:r w:rsidRPr="00EC35A2">
        <w:rPr>
          <w:rFonts w:ascii="Tahoma" w:hAnsi="Tahoma" w:cs="Tahoma"/>
          <w:color w:val="000000"/>
          <w:sz w:val="24"/>
          <w:szCs w:val="24"/>
          <w:lang w:val="hr-HR"/>
        </w:rPr>
        <w:t>godine, Investiciono-razvojnom fondu Crne Gore A.D. dostavljena je žalba od strane NVO MANS broj br. 16/96847 od 14.09.2016. godine, zbog navodne povrede pravila postupka, pogrešno i nepotpuno utvrđenog činjeničnog stanja i pogrešne primjene materijalnog prava na Rješenje br.05-17003-5060/1 od 29.08.2016.godine. Uvidom u zahtjev MANS-a broj 16/96847 od 15/08/2016.god nailaze na podatak da podnosilac zahtjeva traži analitičke kartice svih računa za period od 25/07/2016. do 31/07/2016. godine koje institucija ima u svom posjedu i koje je dužna objavljivati sedmodnevno ( u skladu sa članom 28 stav 3 Zakona o finansiranju političkih subjekata i izbornih kampanja). U predmetnoj žalbi, za razliku od zahtjeva gdje se poziva na Zakon o finansiranju političkih subjekata i izbornih kampanja kao osnov dostavljanja i javne objave analitičkih kartica, MANS se poziva sada na druge propise i međunarodne akte. Uvidom u Zakon o finansiranju političkih subjekata i izbornih kampanja, a na koji se MANS poziva u svom zahtjevu broj 16/96847, nedvosmisleno se vidi da IRF CG A.D. , a u skladu sa članom 5 tog Zakona nije budžetska jedinica i to kako na nivou Države, tako i na nivou lokalne samouprave, a šta su u pobijanom iješenju i naveli-obrazložili. IRF CG A.D. navodi u osporenom rješenju izvore poslovanja Fonda, a koji nisu obuhvaćeni članom 5 Zakona</w:t>
      </w:r>
      <w:r w:rsidR="007A2509" w:rsidRPr="00EC35A2">
        <w:rPr>
          <w:rFonts w:ascii="Tahoma" w:hAnsi="Tahoma" w:cs="Tahoma"/>
          <w:sz w:val="24"/>
          <w:szCs w:val="24"/>
        </w:rPr>
        <w:t xml:space="preserve"> o </w:t>
      </w:r>
      <w:r w:rsidRPr="00EC35A2">
        <w:rPr>
          <w:rFonts w:ascii="Tahoma" w:hAnsi="Tahoma" w:cs="Tahoma"/>
          <w:color w:val="000000"/>
          <w:sz w:val="24"/>
          <w:szCs w:val="24"/>
          <w:lang w:val="hr-HR"/>
        </w:rPr>
        <w:t xml:space="preserve">finansiranju političkih subjekata i izbornih kampanja. 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 Ujedno, ukazao je podnosiocu žalbe da Zakonom o Budžetu Crne Gore za 2016.godinu nije predviđena stavka finansiranja IRF CG A.D. po bilo kom osnovu. Iz dijela žalbe koja se odnosi na konstataciju žalioca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članom 32 stav 3 tog Zakona definiše ko su obveznici objavljivanja te informacije o putnim nalozima (...privredna društva čiji je osnivači/li većinski ili djelimični vlasnik država...), dok članom 28 stav 3 se definiše da su budžetske potrošačke jedinice obveznici javnog objavljivanja analitičkih kartica. Pravno i faktički je „zanimljivija" konstatacija da IRF CG </w:t>
      </w:r>
      <w:r w:rsidRPr="00EC35A2">
        <w:rPr>
          <w:rFonts w:ascii="Tahoma" w:hAnsi="Tahoma" w:cs="Tahoma"/>
          <w:color w:val="000000"/>
          <w:sz w:val="24"/>
          <w:szCs w:val="24"/>
          <w:lang w:val="hr-HR"/>
        </w:rPr>
        <w:lastRenderedPageBreak/>
        <w:t>A.D. ima odredeni projekat sa Ministarstvom poljoprivrede i ruralnog razvoja. Ministarstvom ekonomije te da je to krunski dokaz da Fond koristi dio budžetskih sredstava u okviru svog poslovanja.Kao odgovor na tu tvrdnju, podsjećamo da je Ministarstvo održivog razvoja i turizma organizovalo projekat „1000+" stanova, na koji su se prijavile odredene poslovne banke, a shodno Odluci o kriterijumima i postupku dodjele dugoročnih kredita fizičkim licima radi obezbjedenja stambenih objekata za socijalno stanovanje („Službeni list CG", broj 72/2015 od 21.12.2015. god.) gdje je članom 12 te Odluke odreden javni poziv komercijalnim bankama da učestvuju u tom postupku . Shodno shvatanju MANS-a, to bi značilo da je jasno da su poslovne banke korisnici budžetskih sredstava, i da su i one obveznici objavljivanja analitičkih kartica shodno Zakonu o finansiranju političkih subjekata i izbornih kampanja. U bitnom navode kada bi se navedeni zakon tumači u ovom smjeru koji MANS pokušava da nametne, to bi značilo objavu najznačajnijih poslovnih informacija finansijskih institucija koje sarađuju sa Državom, i definitivno bi došlo do urušavanja poslovnog i ekonomskog ambijenta i ravnoteže u Crnoj Gori. Ovim podnosilac žalbe samo pokazuje da ne poznaje princip funkcionisanja finansijskih institucija i banaka, te da na ovaj način želi predmet žalbe odvesti u drugom smjeru u odnosu na zahtjev i Zakon o finansiranju političkih subjekata i izbornih kampanja na koji se pozvao u istom, da smo dužnici dostave i javne objave analitičkih kartica.</w:t>
      </w:r>
    </w:p>
    <w:p w:rsidR="002A2B40" w:rsidRPr="00EC35A2" w:rsidRDefault="005923B3" w:rsidP="00EC35A2">
      <w:pPr>
        <w:pStyle w:val="NoSpacing"/>
        <w:jc w:val="both"/>
        <w:rPr>
          <w:rFonts w:ascii="Tahoma" w:hAnsi="Tahoma" w:cs="Tahoma"/>
          <w:sz w:val="24"/>
          <w:szCs w:val="24"/>
        </w:rPr>
      </w:pPr>
      <w:r w:rsidRPr="00EC35A2">
        <w:rPr>
          <w:rFonts w:ascii="Tahoma" w:hAnsi="Tahoma" w:cs="Tahoma"/>
          <w:color w:val="000000"/>
          <w:sz w:val="24"/>
          <w:szCs w:val="24"/>
          <w:lang w:val="hr-HR"/>
        </w:rPr>
        <w:t>Savjet Agencije se u smislu člana 40 stav 1 tačka 1 Zakona o slobodnom pristupu informacijama obratio zahtjevom br.07-33-7688-1/16 od 08.12.2016.godine tražeći informaciju koja je predmet zahtjeva za slobodan pristup informacijama br.16/96847 od 15.08.2016.godine te je uz dopis IRF CG A.D br.05-17003-7511/5 od 16.12.2016.godine dostavljen je i to: traženu informaciju predmetnim zahtjevom.</w:t>
      </w:r>
    </w:p>
    <w:p w:rsidR="002A2B40" w:rsidRPr="00EC35A2" w:rsidRDefault="005923B3" w:rsidP="00EC35A2">
      <w:pPr>
        <w:pStyle w:val="NoSpacing"/>
        <w:jc w:val="both"/>
        <w:rPr>
          <w:rFonts w:ascii="Tahoma" w:hAnsi="Tahoma" w:cs="Tahoma"/>
          <w:sz w:val="24"/>
          <w:szCs w:val="24"/>
        </w:rPr>
      </w:pPr>
      <w:r w:rsidRPr="00EC35A2">
        <w:rPr>
          <w:rFonts w:ascii="Tahoma" w:hAnsi="Tahoma" w:cs="Tahoma"/>
          <w:color w:val="000000"/>
          <w:sz w:val="24"/>
          <w:szCs w:val="24"/>
          <w:lang w:val="hr-HR"/>
        </w:rPr>
        <w:t>Nakon razmatranja spisa predmeta, navoda žalbe i odgovora na žalbu,neposrednog uvida u informaciju traženu zahtjevom za slobodan pristup informacijama Savjet Agencije nalazi da je žalba osnovana.</w:t>
      </w:r>
    </w:p>
    <w:p w:rsidR="00EC35A2" w:rsidRPr="00EC35A2" w:rsidRDefault="007A2509" w:rsidP="00EC35A2">
      <w:pPr>
        <w:pStyle w:val="NoSpacing"/>
        <w:jc w:val="both"/>
        <w:rPr>
          <w:rFonts w:ascii="Tahoma" w:hAnsi="Tahoma" w:cs="Tahoma"/>
          <w:sz w:val="24"/>
          <w:szCs w:val="24"/>
          <w:lang w:val="sr-Latn-CS"/>
        </w:rPr>
      </w:pPr>
      <w:r w:rsidRPr="00EC35A2">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w:t>
      </w:r>
      <w:r w:rsidR="005923B3" w:rsidRPr="00EC35A2">
        <w:rPr>
          <w:rFonts w:ascii="Tahoma" w:hAnsi="Tahoma" w:cs="Tahoma"/>
          <w:color w:val="000000"/>
          <w:sz w:val="24"/>
          <w:szCs w:val="24"/>
          <w:lang w:val="hr-HR"/>
        </w:rPr>
        <w:t>Savjet Agencije je poništio rješenje prvostepenog organa br.05-17003-5060/1 od</w:t>
      </w:r>
      <w:r w:rsidRPr="00EC35A2">
        <w:rPr>
          <w:rFonts w:ascii="Tahoma" w:hAnsi="Tahoma" w:cs="Tahoma"/>
          <w:sz w:val="24"/>
          <w:szCs w:val="24"/>
        </w:rPr>
        <w:t xml:space="preserve"> 29.08.2016.godine </w:t>
      </w:r>
      <w:r w:rsidR="005923B3" w:rsidRPr="00EC35A2">
        <w:rPr>
          <w:rFonts w:ascii="Tahoma" w:hAnsi="Tahoma" w:cs="Tahoma"/>
          <w:color w:val="000000"/>
          <w:sz w:val="24"/>
          <w:szCs w:val="24"/>
          <w:lang w:val="hr-HR"/>
        </w:rPr>
        <w:t xml:space="preserve">zbog povrede pravila postupka, pogrešne primjene materijalnog prava i nepravilno i nepotpuno utvrdjenog činjeničnog stanja . 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utvrđeno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w:t>
      </w:r>
      <w:r w:rsidR="005923B3" w:rsidRPr="00EC35A2">
        <w:rPr>
          <w:rFonts w:ascii="Tahoma" w:hAnsi="Tahoma" w:cs="Tahoma"/>
          <w:color w:val="000000"/>
          <w:sz w:val="24"/>
          <w:szCs w:val="24"/>
          <w:lang w:val="hr-HR"/>
        </w:rPr>
        <w:lastRenderedPageBreak/>
        <w:t xml:space="preserve">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Savjet Agencije prilikom preispitivanja zakonitosti osporenog rješenja nalazi da se prvostepeni organ samo paušalnim pozivanjem na odredbu člana 11 Zakona o Investiciono razvojnom fondu Crne Gore pokušao neosnovano odbiti zahtjev za slobodan pristup informacijama. Predmet zahtjeva su analitičke kartice i prvostepeni organ se nije mogao pozivati na odredbe drugih zakona kao što Zakona o Investiciono razvojnom fondu Crne Gore jer je u skladu sa članom 1 Zakona o slobodnom pristupu informacijama propisano da će se postupka sprovoditi na način i po postupku u skladu sa odredbama ovog Zakona. Prvostepeni organ se nije mogao pozvati na ograničenje propisano članom 14 Zakona o slobodnom pristupu informacijama što se utvrdjuje uvidom u analitičke dostavljenje kartice. U konkretnom slučaju postoji preovladjujući javni interes za objavljivanje tražene informacije, pa shodno članu 17 stav 2 Zakona o slobodnom pristupu informacijama, iz razloga što se radi o informaciji koja svjedoči o zakonitosti poslovanja prvostepenog organa. Savjet Agencije je izvršio uvid u, kao i karticu konta za period od 25.07.2016.do 31.07.2016.godine koji sadrže informaciju traženu zahtjevom i utvrdio da iste odluke ne sadrže informacije kojima je shodno članu 14 </w:t>
      </w:r>
      <w:r w:rsidRPr="00EC35A2">
        <w:rPr>
          <w:rFonts w:ascii="Tahoma" w:hAnsi="Tahoma" w:cs="Tahoma"/>
          <w:sz w:val="24"/>
          <w:szCs w:val="24"/>
        </w:rPr>
        <w:t xml:space="preserve">stav 1 tačka 5 </w:t>
      </w:r>
      <w:r w:rsidR="005923B3" w:rsidRPr="00EC35A2">
        <w:rPr>
          <w:rFonts w:ascii="Tahoma" w:hAnsi="Tahoma" w:cs="Tahoma"/>
          <w:color w:val="000000"/>
          <w:sz w:val="24"/>
          <w:szCs w:val="24"/>
          <w:lang w:val="hr-HR"/>
        </w:rPr>
        <w:t xml:space="preserve">Zakona o slobodnom pristupu informacijama pristup ograničen. </w:t>
      </w:r>
      <w:r w:rsidR="00EC35A2" w:rsidRPr="00EC35A2">
        <w:rPr>
          <w:rFonts w:ascii="Tahoma" w:hAnsi="Tahoma" w:cs="Tahoma"/>
          <w:sz w:val="24"/>
          <w:szCs w:val="24"/>
          <w:lang w:val="sr-Latn-CS"/>
        </w:rPr>
        <w:t xml:space="preserve">Na osnovu navedenog prvostepeni organ će u ponovnom postupku na osnovu pravilno utvrđenog činjeničnog stanja i primjene materijalnog prava pravilno primijeniti odredbe Zakona o slobodnom pristupu informacijama i to člana 14 stav 1 tačka 6 ako se radi o poslovnoj tajni, člana 16 istog zakona , kao i člana 203 Zakona o opštem upravnom postupku. </w:t>
      </w:r>
    </w:p>
    <w:p w:rsidR="00EC35A2" w:rsidRPr="00EC35A2" w:rsidRDefault="00EC35A2" w:rsidP="00EC35A2">
      <w:pPr>
        <w:pStyle w:val="NoSpacing"/>
        <w:jc w:val="both"/>
        <w:rPr>
          <w:rFonts w:ascii="Tahoma" w:eastAsia="Lucida Sans Unicode" w:hAnsi="Tahoma" w:cs="Tahoma"/>
          <w:spacing w:val="-10"/>
          <w:sz w:val="24"/>
        </w:rPr>
      </w:pPr>
      <w:r w:rsidRPr="00EC35A2">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EC35A2">
        <w:rPr>
          <w:rFonts w:ascii="Tahoma" w:eastAsia="Lucida Sans Unicode" w:hAnsi="Tahoma" w:cs="Tahoma"/>
          <w:color w:val="000000"/>
          <w:spacing w:val="-10"/>
          <w:sz w:val="24"/>
          <w:szCs w:val="24"/>
        </w:rPr>
        <w:t xml:space="preserve"> </w:t>
      </w:r>
    </w:p>
    <w:p w:rsidR="00EC35A2" w:rsidRPr="00EC35A2" w:rsidRDefault="00EC35A2" w:rsidP="00EC35A2">
      <w:pPr>
        <w:pStyle w:val="NoSpacing"/>
        <w:jc w:val="both"/>
        <w:rPr>
          <w:rFonts w:ascii="Tahoma" w:eastAsia="Lucida Sans Unicode" w:hAnsi="Tahoma" w:cs="Tahoma"/>
          <w:color w:val="000000"/>
          <w:spacing w:val="-10"/>
          <w:sz w:val="24"/>
          <w:szCs w:val="24"/>
        </w:rPr>
      </w:pPr>
    </w:p>
    <w:p w:rsidR="00EC35A2" w:rsidRPr="00EC35A2" w:rsidRDefault="00EC35A2" w:rsidP="00EC35A2">
      <w:pPr>
        <w:pStyle w:val="NoSpacing"/>
        <w:jc w:val="both"/>
        <w:rPr>
          <w:rFonts w:ascii="Tahoma" w:hAnsi="Tahoma" w:cs="Tahoma"/>
          <w:sz w:val="24"/>
          <w:szCs w:val="24"/>
        </w:rPr>
      </w:pPr>
      <w:r w:rsidRPr="00EC35A2">
        <w:rPr>
          <w:rFonts w:ascii="Tahoma" w:hAnsi="Tahoma" w:cs="Tahoma"/>
          <w:sz w:val="24"/>
          <w:szCs w:val="24"/>
        </w:rPr>
        <w:lastRenderedPageBreak/>
        <w:t>Budući da je poništeno rješenje prvostepenog organa i predmet vraćen na ponovno odlučivanje  stoga  upravni postupak nije okončan tako da se nijesu stekli uslovi za naknadu troškova postupka shodno članu 107 Zakona o opštem upravnom postupku.</w:t>
      </w:r>
    </w:p>
    <w:p w:rsidR="00EC35A2" w:rsidRPr="00EC35A2" w:rsidRDefault="00EC35A2" w:rsidP="00EC35A2">
      <w:pPr>
        <w:pStyle w:val="NoSpacing"/>
        <w:jc w:val="both"/>
        <w:rPr>
          <w:rFonts w:ascii="Tahoma" w:hAnsi="Tahoma" w:cs="Tahoma"/>
          <w:sz w:val="24"/>
        </w:rPr>
      </w:pPr>
    </w:p>
    <w:p w:rsidR="00EC35A2" w:rsidRPr="00EC35A2" w:rsidRDefault="00EC35A2" w:rsidP="00EC35A2">
      <w:pPr>
        <w:pStyle w:val="NoSpacing"/>
        <w:jc w:val="both"/>
        <w:rPr>
          <w:rFonts w:ascii="Tahoma" w:hAnsi="Tahoma" w:cs="Tahoma"/>
          <w:sz w:val="24"/>
          <w:szCs w:val="24"/>
        </w:rPr>
      </w:pPr>
      <w:r w:rsidRPr="00EC35A2">
        <w:rPr>
          <w:rFonts w:ascii="Tahoma" w:hAnsi="Tahoma" w:cs="Tahoma"/>
          <w:sz w:val="24"/>
          <w:szCs w:val="24"/>
        </w:rPr>
        <w:t>Savjet Agencije je cijenio i ostale navode iz žalbe, pa je našao da nijesu od uticaja za drugačije rješavanje u ovoj pravnoj stvari.</w:t>
      </w:r>
    </w:p>
    <w:p w:rsidR="00EC35A2" w:rsidRPr="00EC35A2" w:rsidRDefault="00EC35A2" w:rsidP="00EC35A2">
      <w:pPr>
        <w:pStyle w:val="NoSpacing"/>
        <w:jc w:val="both"/>
        <w:rPr>
          <w:rFonts w:ascii="Tahoma" w:hAnsi="Tahoma" w:cs="Tahoma"/>
          <w:sz w:val="24"/>
          <w:szCs w:val="24"/>
        </w:rPr>
      </w:pPr>
    </w:p>
    <w:p w:rsidR="00EC35A2" w:rsidRPr="00EC35A2" w:rsidRDefault="00EC35A2" w:rsidP="00EC35A2">
      <w:pPr>
        <w:pStyle w:val="NoSpacing"/>
        <w:jc w:val="both"/>
        <w:rPr>
          <w:rFonts w:ascii="Tahoma" w:hAnsi="Tahoma" w:cs="Tahoma"/>
          <w:sz w:val="24"/>
          <w:szCs w:val="24"/>
          <w:lang w:val="sr-Latn-CS"/>
        </w:rPr>
      </w:pPr>
      <w:r w:rsidRPr="00EC35A2">
        <w:rPr>
          <w:rFonts w:ascii="Tahoma" w:hAnsi="Tahoma" w:cs="Tahoma"/>
          <w:sz w:val="24"/>
          <w:szCs w:val="24"/>
          <w:lang w:val="sr-Latn-CS"/>
        </w:rPr>
        <w:t>Sa iznijetih razloga, shodno članu 38 Zakona o slobodnom pristupu informacijama i člana 237 stav 2 Zakona o opštem upravnom postupku, odlučeno je kao u izreci.</w:t>
      </w:r>
    </w:p>
    <w:p w:rsidR="00EC35A2" w:rsidRPr="00EC35A2" w:rsidRDefault="00EC35A2" w:rsidP="00EC35A2">
      <w:pPr>
        <w:pStyle w:val="NoSpacing"/>
        <w:jc w:val="both"/>
        <w:rPr>
          <w:rStyle w:val="Bodytext105ptBold"/>
          <w:b w:val="0"/>
          <w:sz w:val="28"/>
          <w:szCs w:val="24"/>
        </w:rPr>
      </w:pPr>
    </w:p>
    <w:p w:rsidR="002A2B40" w:rsidRPr="00EC35A2" w:rsidRDefault="005923B3" w:rsidP="00EC35A2">
      <w:pPr>
        <w:pStyle w:val="NoSpacing"/>
        <w:jc w:val="both"/>
        <w:rPr>
          <w:rFonts w:ascii="Tahoma" w:hAnsi="Tahoma" w:cs="Tahoma"/>
          <w:sz w:val="24"/>
          <w:szCs w:val="24"/>
        </w:rPr>
      </w:pPr>
      <w:r w:rsidRPr="00EC35A2">
        <w:rPr>
          <w:rStyle w:val="Bodytext105ptBold"/>
          <w:sz w:val="28"/>
          <w:szCs w:val="24"/>
        </w:rPr>
        <w:t>Pravna pouka:</w:t>
      </w:r>
      <w:r w:rsidRPr="00EC35A2">
        <w:rPr>
          <w:rStyle w:val="Bodytext105ptBold0"/>
          <w:sz w:val="28"/>
          <w:szCs w:val="24"/>
          <w:lang w:val="hr-HR"/>
        </w:rPr>
        <w:t xml:space="preserve"> </w:t>
      </w:r>
      <w:r w:rsidRPr="00EC35A2">
        <w:rPr>
          <w:rFonts w:ascii="Tahoma" w:hAnsi="Tahoma" w:cs="Tahoma"/>
          <w:color w:val="000000"/>
          <w:sz w:val="24"/>
          <w:szCs w:val="24"/>
          <w:lang w:val="hr-HR"/>
        </w:rPr>
        <w:t>Protiv ovog Rješenja može se po</w:t>
      </w:r>
      <w:r w:rsidR="00EC35A2" w:rsidRPr="00EC35A2">
        <w:rPr>
          <w:rFonts w:ascii="Tahoma" w:hAnsi="Tahoma" w:cs="Tahoma"/>
          <w:sz w:val="24"/>
          <w:szCs w:val="24"/>
        </w:rPr>
        <w:t>krenuti Upravni spor u roku od 2</w:t>
      </w:r>
      <w:r w:rsidRPr="00EC35A2">
        <w:rPr>
          <w:rFonts w:ascii="Tahoma" w:hAnsi="Tahoma" w:cs="Tahoma"/>
          <w:color w:val="000000"/>
          <w:sz w:val="24"/>
          <w:szCs w:val="24"/>
          <w:lang w:val="hr-HR"/>
        </w:rPr>
        <w:t>0 dana od dana prijema.</w:t>
      </w:r>
    </w:p>
    <w:p w:rsidR="002A2B40" w:rsidRPr="00EC35A2" w:rsidRDefault="005923B3">
      <w:pPr>
        <w:pStyle w:val="Bodytext50"/>
        <w:shd w:val="clear" w:color="auto" w:fill="auto"/>
        <w:spacing w:before="0" w:line="270" w:lineRule="exact"/>
        <w:rPr>
          <w:sz w:val="24"/>
          <w:szCs w:val="24"/>
        </w:rPr>
        <w:sectPr w:rsidR="002A2B40" w:rsidRPr="00EC35A2">
          <w:headerReference w:type="even" r:id="rId7"/>
          <w:headerReference w:type="default" r:id="rId8"/>
          <w:footerReference w:type="even" r:id="rId9"/>
          <w:footerReference w:type="default" r:id="rId10"/>
          <w:headerReference w:type="first" r:id="rId11"/>
          <w:footerReference w:type="first" r:id="rId12"/>
          <w:type w:val="continuous"/>
          <w:pgSz w:w="11906" w:h="16838"/>
          <w:pgMar w:top="1401" w:right="1213" w:bottom="2222" w:left="1261" w:header="0" w:footer="3" w:gutter="0"/>
          <w:cols w:space="720"/>
          <w:noEndnote/>
          <w:docGrid w:linePitch="360"/>
        </w:sectPr>
      </w:pPr>
      <w:r w:rsidRPr="00EC35A2">
        <w:rPr>
          <w:sz w:val="24"/>
          <w:szCs w:val="24"/>
        </w:rPr>
        <w:t>SAVJET AGENCIJE:</w:t>
      </w:r>
    </w:p>
    <w:p w:rsidR="002A2B40" w:rsidRPr="00EC35A2" w:rsidRDefault="002A2B40">
      <w:pPr>
        <w:spacing w:line="360" w:lineRule="exact"/>
        <w:rPr>
          <w:rFonts w:ascii="Tahoma" w:hAnsi="Tahoma" w:cs="Tahoma"/>
        </w:rPr>
      </w:pPr>
    </w:p>
    <w:p w:rsidR="00EC35A2" w:rsidRPr="001903DB" w:rsidRDefault="00EC35A2" w:rsidP="00EC35A2">
      <w:pPr>
        <w:jc w:val="right"/>
        <w:rPr>
          <w:rFonts w:ascii="Tahoma" w:hAnsi="Tahoma" w:cs="Tahoma"/>
          <w:b/>
          <w:lang w:val="sr-Latn-CS"/>
        </w:rPr>
      </w:pPr>
      <w:r w:rsidRPr="001903DB">
        <w:rPr>
          <w:rFonts w:ascii="Tahoma" w:hAnsi="Tahoma" w:cs="Tahoma"/>
          <w:b/>
          <w:lang w:val="sr-Latn-CS"/>
        </w:rPr>
        <w:t xml:space="preserve">Predsjednik,  </w:t>
      </w:r>
      <w:r>
        <w:rPr>
          <w:rFonts w:ascii="Tahoma" w:hAnsi="Tahoma" w:cs="Tahoma"/>
          <w:b/>
          <w:lang w:val="sr-Latn-CS"/>
        </w:rPr>
        <w:t>Muhamed Gjokaj</w:t>
      </w:r>
    </w:p>
    <w:p w:rsidR="00EC35A2" w:rsidRDefault="00EC35A2" w:rsidP="00EC35A2">
      <w:pPr>
        <w:pStyle w:val="NoSpacing"/>
        <w:rPr>
          <w:rFonts w:ascii="Tahoma" w:hAnsi="Tahoma" w:cs="Tahoma"/>
          <w:b/>
          <w:sz w:val="24"/>
          <w:szCs w:val="24"/>
          <w:lang w:val="sr-Latn-CS"/>
        </w:rPr>
      </w:pPr>
    </w:p>
    <w:p w:rsidR="002A2B40" w:rsidRPr="00EC35A2" w:rsidRDefault="002A2B40">
      <w:pPr>
        <w:spacing w:line="360" w:lineRule="exact"/>
        <w:rPr>
          <w:rFonts w:ascii="Tahoma" w:hAnsi="Tahoma" w:cs="Tahoma"/>
        </w:rPr>
      </w:pPr>
      <w:bookmarkStart w:id="0" w:name="_GoBack"/>
      <w:bookmarkEnd w:id="0"/>
    </w:p>
    <w:p w:rsidR="002A2B40" w:rsidRPr="00EC35A2" w:rsidRDefault="002A2B40">
      <w:pPr>
        <w:spacing w:line="360" w:lineRule="exact"/>
        <w:rPr>
          <w:rFonts w:ascii="Tahoma" w:hAnsi="Tahoma" w:cs="Tahoma"/>
        </w:rPr>
      </w:pPr>
    </w:p>
    <w:p w:rsidR="002A2B40" w:rsidRPr="00EC35A2" w:rsidRDefault="002A2B40">
      <w:pPr>
        <w:spacing w:line="602" w:lineRule="exact"/>
        <w:rPr>
          <w:rFonts w:ascii="Tahoma" w:hAnsi="Tahoma" w:cs="Tahoma"/>
        </w:rPr>
      </w:pPr>
    </w:p>
    <w:p w:rsidR="002A2B40" w:rsidRPr="00EC35A2" w:rsidRDefault="002A2B40">
      <w:pPr>
        <w:rPr>
          <w:rFonts w:ascii="Tahoma" w:hAnsi="Tahoma" w:cs="Tahoma"/>
        </w:rPr>
      </w:pPr>
    </w:p>
    <w:sectPr w:rsidR="002A2B40" w:rsidRPr="00EC35A2">
      <w:type w:val="continuous"/>
      <w:pgSz w:w="11906" w:h="16838"/>
      <w:pgMar w:top="1352" w:right="1213" w:bottom="1352" w:left="1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9D5" w:rsidRDefault="004E19D5">
      <w:r>
        <w:separator/>
      </w:r>
    </w:p>
  </w:endnote>
  <w:endnote w:type="continuationSeparator" w:id="0">
    <w:p w:rsidR="004E19D5" w:rsidRDefault="004E1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5A2" w:rsidRDefault="00EC3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5A2" w:rsidRPr="00EC35A2" w:rsidRDefault="00EC35A2" w:rsidP="00EC35A2">
    <w:pPr>
      <w:rPr>
        <w:sz w:val="2"/>
        <w:szCs w:val="2"/>
        <w:lang w:val="sr-Latn-ME"/>
      </w:rPr>
    </w:pPr>
  </w:p>
  <w:p w:rsidR="00EC35A2" w:rsidRPr="00EC35A2" w:rsidRDefault="00EC35A2" w:rsidP="00EC35A2">
    <w:pPr>
      <w:rPr>
        <w:sz w:val="2"/>
        <w:szCs w:val="2"/>
        <w:lang w:val="sr-Latn-ME"/>
      </w:rPr>
    </w:pPr>
  </w:p>
  <w:p w:rsidR="00EC35A2" w:rsidRPr="00EC35A2" w:rsidRDefault="00EC35A2" w:rsidP="00EC35A2">
    <w:pPr>
      <w:rPr>
        <w:sz w:val="2"/>
        <w:szCs w:val="2"/>
        <w:lang w:val="sr-Latn-ME"/>
      </w:rPr>
    </w:pPr>
  </w:p>
  <w:p w:rsidR="00EC35A2" w:rsidRPr="00EC35A2" w:rsidRDefault="00EC35A2" w:rsidP="00EC35A2">
    <w:pPr>
      <w:rPr>
        <w:sz w:val="2"/>
        <w:szCs w:val="2"/>
        <w:lang w:val="sr-Latn-ME"/>
      </w:rPr>
    </w:pPr>
  </w:p>
  <w:p w:rsidR="00EC35A2" w:rsidRPr="00EC35A2" w:rsidRDefault="00EC35A2" w:rsidP="00EC35A2">
    <w:pPr>
      <w:rPr>
        <w:b/>
        <w:sz w:val="2"/>
        <w:szCs w:val="2"/>
        <w:lang w:val="sr-Latn-ME"/>
      </w:rPr>
    </w:pPr>
  </w:p>
  <w:p w:rsidR="00EC35A2" w:rsidRPr="00EC35A2" w:rsidRDefault="00EC35A2" w:rsidP="00EC35A2">
    <w:pPr>
      <w:rPr>
        <w:b/>
        <w:sz w:val="2"/>
        <w:szCs w:val="2"/>
        <w:lang w:val="sr-Latn-ME"/>
      </w:rPr>
    </w:pPr>
    <w:r w:rsidRPr="00EC35A2">
      <w:rPr>
        <w:b/>
        <w:sz w:val="2"/>
        <w:szCs w:val="2"/>
        <w:lang w:val="sr-Latn-ME"/>
      </w:rPr>
      <w:t>AGENCIJA ZA ZAŠTITU LIČNIH PODATAKA I SLOBODAN PRISTUP INFORMACIJAMA, adresa: Bulevar Svetog Petra Cetinjskog br. 147</w:t>
    </w:r>
  </w:p>
  <w:p w:rsidR="00EC35A2" w:rsidRPr="00EC35A2" w:rsidRDefault="00EC35A2" w:rsidP="00EC35A2">
    <w:pPr>
      <w:rPr>
        <w:sz w:val="2"/>
        <w:szCs w:val="2"/>
        <w:lang w:val="sr-Latn-ME"/>
      </w:rPr>
    </w:pPr>
    <w:r w:rsidRPr="00EC35A2">
      <w:rPr>
        <w:b/>
        <w:sz w:val="2"/>
        <w:szCs w:val="2"/>
        <w:lang w:val="sr-Latn-ME"/>
      </w:rPr>
      <w:t>tel/fax: +382 020 634 883 (Savjet), +382 020 634 884 (direktor), e-mail: azlp@t-com.me, web site: www.azlp.me</w:t>
    </w:r>
  </w:p>
  <w:p w:rsidR="002A2B40" w:rsidRDefault="00E779C2">
    <w:pPr>
      <w:rPr>
        <w:sz w:val="2"/>
        <w:szCs w:val="2"/>
      </w:rPr>
    </w:pPr>
    <w:r>
      <w:rPr>
        <w:noProof/>
        <w:lang w:val="sr-Latn-ME"/>
      </w:rPr>
      <mc:AlternateContent>
        <mc:Choice Requires="wps">
          <w:drawing>
            <wp:anchor distT="0" distB="0" distL="63500" distR="63500" simplePos="0" relativeHeight="251657728" behindDoc="1" locked="0" layoutInCell="1" allowOverlap="1">
              <wp:simplePos x="0" y="0"/>
              <wp:positionH relativeFrom="page">
                <wp:posOffset>1466850</wp:posOffset>
              </wp:positionH>
              <wp:positionV relativeFrom="page">
                <wp:posOffset>9585325</wp:posOffset>
              </wp:positionV>
              <wp:extent cx="4589780" cy="214630"/>
              <wp:effectExtent l="0" t="3175" r="127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978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2B40" w:rsidRDefault="002A2B40">
                          <w:pPr>
                            <w:pStyle w:val="Headerorfooter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5.5pt;margin-top:754.75pt;width:361.4pt;height:16.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" filled="f" stroked="f">
              <v:textbox style="mso-fit-shape-to-text:t" inset="0,0,0,0">
                <w:txbxContent>
                  <w:p w:rsidR="002A2B40" w:rsidRDefault="002A2B40">
                    <w:pPr>
                      <w:pStyle w:val="Headerorfooter0"/>
                      <w:shd w:val="clear" w:color="auto" w:fill="auto"/>
                      <w:spacing w:line="240" w:lineRule="auto"/>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5A2" w:rsidRDefault="00EC3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9D5" w:rsidRDefault="004E19D5"/>
  </w:footnote>
  <w:footnote w:type="continuationSeparator" w:id="0">
    <w:p w:rsidR="004E19D5" w:rsidRDefault="004E19D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5A2" w:rsidRDefault="00EC3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5A2" w:rsidRDefault="00EC3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5A2" w:rsidRDefault="00EC35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417F2"/>
    <w:multiLevelType w:val="multilevel"/>
    <w:tmpl w:val="CE9E1008"/>
    <w:lvl w:ilvl="0">
      <w:start w:val="1"/>
      <w:numFmt w:val="lowerRoman"/>
      <w:lvlText w:val="%1"/>
      <w:lvlJc w:val="left"/>
      <w:rPr>
        <w:rFonts w:ascii="Tahoma" w:eastAsia="Tahoma" w:hAnsi="Tahoma" w:cs="Tahoma"/>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527F62"/>
    <w:multiLevelType w:val="multilevel"/>
    <w:tmpl w:val="4CBC36AC"/>
    <w:lvl w:ilvl="0">
      <w:start w:val="2016"/>
      <w:numFmt w:val="decimal"/>
      <w:lvlText w:val="14.09.%1."/>
      <w:lvlJc w:val="left"/>
      <w:rPr>
        <w:rFonts w:ascii="Tahoma" w:eastAsia="Tahoma" w:hAnsi="Tahoma" w:cs="Tahoma"/>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E438ED"/>
    <w:multiLevelType w:val="multilevel"/>
    <w:tmpl w:val="5CCC5CDC"/>
    <w:lvl w:ilvl="0">
      <w:start w:val="2016"/>
      <w:numFmt w:val="decimal"/>
      <w:lvlText w:val="31.07.%1."/>
      <w:lvlJc w:val="left"/>
      <w:rPr>
        <w:rFonts w:ascii="Tahoma" w:eastAsia="Tahoma" w:hAnsi="Tahoma" w:cs="Tahoma"/>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2161D7"/>
    <w:multiLevelType w:val="multilevel"/>
    <w:tmpl w:val="7F2C2E8E"/>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0934241"/>
    <w:multiLevelType w:val="multilevel"/>
    <w:tmpl w:val="D298BD4E"/>
    <w:lvl w:ilvl="0">
      <w:start w:val="1"/>
      <w:numFmt w:val="upperRoman"/>
      <w:lvlText w:val="%1"/>
      <w:lvlJc w:val="left"/>
      <w:rPr>
        <w:rFonts w:ascii="Arial Narrow" w:eastAsia="Arial Narrow" w:hAnsi="Arial Narrow" w:cs="Arial Narrow"/>
        <w:b/>
        <w:bCs/>
        <w:i w:val="0"/>
        <w:iCs w:val="0"/>
        <w:smallCaps w:val="0"/>
        <w:strike w:val="0"/>
        <w:color w:val="000000"/>
        <w:spacing w:val="0"/>
        <w:w w:val="100"/>
        <w:position w:val="0"/>
        <w:sz w:val="24"/>
        <w:szCs w:val="24"/>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9716A53"/>
    <w:multiLevelType w:val="multilevel"/>
    <w:tmpl w:val="943EB27C"/>
    <w:lvl w:ilvl="0">
      <w:start w:val="2016"/>
      <w:numFmt w:val="decimal"/>
      <w:lvlText w:val="25.07.%1."/>
      <w:lvlJc w:val="left"/>
      <w:rPr>
        <w:rFonts w:ascii="Tahoma" w:eastAsia="Tahoma" w:hAnsi="Tahoma" w:cs="Tahoma"/>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7204EB"/>
    <w:multiLevelType w:val="multilevel"/>
    <w:tmpl w:val="A986EEA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84C49D1"/>
    <w:multiLevelType w:val="multilevel"/>
    <w:tmpl w:val="537A02FE"/>
    <w:lvl w:ilvl="0">
      <w:start w:val="2016"/>
      <w:numFmt w:val="decimal"/>
      <w:lvlText w:val="29.08.%1."/>
      <w:lvlJc w:val="left"/>
      <w:rPr>
        <w:rFonts w:ascii="Tahoma" w:eastAsia="Tahoma" w:hAnsi="Tahoma" w:cs="Tahoma"/>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94404EE"/>
    <w:multiLevelType w:val="multilevel"/>
    <w:tmpl w:val="9AFC3BAE"/>
    <w:lvl w:ilvl="0">
      <w:start w:val="2016"/>
      <w:numFmt w:val="decimal"/>
      <w:lvlText w:val="29.08.%1."/>
      <w:lvlJc w:val="left"/>
      <w:rPr>
        <w:rFonts w:ascii="Tahoma" w:eastAsia="Tahoma" w:hAnsi="Tahoma" w:cs="Tahoma"/>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5"/>
  </w:num>
  <w:num w:numId="4">
    <w:abstractNumId w:val="3"/>
  </w:num>
  <w:num w:numId="5">
    <w:abstractNumId w:val="1"/>
  </w:num>
  <w:num w:numId="6">
    <w:abstractNumId w:val="7"/>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B40"/>
    <w:rsid w:val="002A2B40"/>
    <w:rsid w:val="004E19D5"/>
    <w:rsid w:val="005923B3"/>
    <w:rsid w:val="007A2509"/>
    <w:rsid w:val="0098378A"/>
    <w:rsid w:val="00E779C2"/>
    <w:rsid w:val="00EC35A2"/>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18E5C"/>
  <w15:docId w15:val="{11FDA2D4-39B6-4F8A-8994-A543DFAA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sr-Latn-ME"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Bodytext2">
    <w:name w:val="Body text (2)_"/>
    <w:basedOn w:val="DefaultParagraphFont"/>
    <w:link w:val="Bodytext20"/>
    <w:rPr>
      <w:rFonts w:ascii="Arial Narrow" w:eastAsia="Arial Narrow" w:hAnsi="Arial Narrow" w:cs="Arial Narrow"/>
      <w:b/>
      <w:bCs/>
      <w:i w:val="0"/>
      <w:iCs w:val="0"/>
      <w:smallCaps w:val="0"/>
      <w:strike w:val="0"/>
      <w:spacing w:val="70"/>
      <w:sz w:val="25"/>
      <w:szCs w:val="25"/>
      <w:u w:val="none"/>
    </w:rPr>
  </w:style>
  <w:style w:type="character" w:customStyle="1" w:styleId="Headerorfooter">
    <w:name w:val="Header or footer_"/>
    <w:basedOn w:val="DefaultParagraphFont"/>
    <w:link w:val="Headerorfooter0"/>
    <w:rPr>
      <w:rFonts w:ascii="Tahoma" w:eastAsia="Tahoma" w:hAnsi="Tahoma" w:cs="Tahoma"/>
      <w:b w:val="0"/>
      <w:bCs w:val="0"/>
      <w:i w:val="0"/>
      <w:iCs w:val="0"/>
      <w:smallCaps w:val="0"/>
      <w:strike w:val="0"/>
      <w:sz w:val="14"/>
      <w:szCs w:val="14"/>
      <w:u w:val="none"/>
    </w:rPr>
  </w:style>
  <w:style w:type="character" w:customStyle="1" w:styleId="Headerorfooter1">
    <w:name w:val="Header or footer"/>
    <w:basedOn w:val="Headerorfooter"/>
    <w:rPr>
      <w:rFonts w:ascii="Tahoma" w:eastAsia="Tahoma" w:hAnsi="Tahoma" w:cs="Tahoma"/>
      <w:b w:val="0"/>
      <w:bCs w:val="0"/>
      <w:i w:val="0"/>
      <w:iCs w:val="0"/>
      <w:smallCaps w:val="0"/>
      <w:strike w:val="0"/>
      <w:color w:val="000000"/>
      <w:spacing w:val="0"/>
      <w:w w:val="100"/>
      <w:position w:val="0"/>
      <w:sz w:val="14"/>
      <w:szCs w:val="14"/>
      <w:u w:val="none"/>
      <w:lang w:val="hr-HR"/>
    </w:rPr>
  </w:style>
  <w:style w:type="character" w:customStyle="1" w:styleId="Headerorfooter2">
    <w:name w:val="Header or footer"/>
    <w:basedOn w:val="Headerorfooter"/>
    <w:rPr>
      <w:rFonts w:ascii="Tahoma" w:eastAsia="Tahoma" w:hAnsi="Tahoma" w:cs="Tahoma"/>
      <w:b w:val="0"/>
      <w:bCs w:val="0"/>
      <w:i w:val="0"/>
      <w:iCs w:val="0"/>
      <w:smallCaps w:val="0"/>
      <w:strike w:val="0"/>
      <w:color w:val="000000"/>
      <w:spacing w:val="0"/>
      <w:w w:val="100"/>
      <w:position w:val="0"/>
      <w:sz w:val="14"/>
      <w:szCs w:val="14"/>
      <w:u w:val="single"/>
      <w:lang w:val="hr-HR"/>
    </w:rPr>
  </w:style>
  <w:style w:type="character" w:customStyle="1" w:styleId="Bodytext3">
    <w:name w:val="Body text (3)_"/>
    <w:basedOn w:val="DefaultParagraphFont"/>
    <w:link w:val="Bodytext30"/>
    <w:rPr>
      <w:rFonts w:ascii="Arial Narrow" w:eastAsia="Arial Narrow" w:hAnsi="Arial Narrow" w:cs="Arial Narrow"/>
      <w:b/>
      <w:bCs/>
      <w:i w:val="0"/>
      <w:iCs w:val="0"/>
      <w:smallCaps w:val="0"/>
      <w:strike w:val="0"/>
      <w:u w:val="none"/>
    </w:rPr>
  </w:style>
  <w:style w:type="character" w:customStyle="1" w:styleId="Bodytext4">
    <w:name w:val="Body text (4)_"/>
    <w:basedOn w:val="DefaultParagraphFont"/>
    <w:link w:val="Bodytext40"/>
    <w:rPr>
      <w:rFonts w:ascii="Tahoma" w:eastAsia="Tahoma" w:hAnsi="Tahoma" w:cs="Tahoma"/>
      <w:b/>
      <w:bCs/>
      <w:i w:val="0"/>
      <w:iCs w:val="0"/>
      <w:smallCaps w:val="0"/>
      <w:strike w:val="0"/>
      <w:sz w:val="23"/>
      <w:szCs w:val="23"/>
      <w:u w:val="none"/>
    </w:rPr>
  </w:style>
  <w:style w:type="character" w:customStyle="1" w:styleId="Bodytext">
    <w:name w:val="Body text_"/>
    <w:basedOn w:val="DefaultParagraphFont"/>
    <w:link w:val="BodyText1"/>
    <w:rPr>
      <w:rFonts w:ascii="Tahoma" w:eastAsia="Tahoma" w:hAnsi="Tahoma" w:cs="Tahoma"/>
      <w:b w:val="0"/>
      <w:bCs w:val="0"/>
      <w:i w:val="0"/>
      <w:iCs w:val="0"/>
      <w:smallCaps w:val="0"/>
      <w:strike w:val="0"/>
      <w:sz w:val="23"/>
      <w:szCs w:val="23"/>
      <w:u w:val="none"/>
    </w:rPr>
  </w:style>
  <w:style w:type="character" w:customStyle="1" w:styleId="Bodytext4Spacing3pt">
    <w:name w:val="Body text (4) + Spacing 3 pt"/>
    <w:basedOn w:val="Bodytext4"/>
    <w:rPr>
      <w:rFonts w:ascii="Tahoma" w:eastAsia="Tahoma" w:hAnsi="Tahoma" w:cs="Tahoma"/>
      <w:b/>
      <w:bCs/>
      <w:i w:val="0"/>
      <w:iCs w:val="0"/>
      <w:smallCaps w:val="0"/>
      <w:strike w:val="0"/>
      <w:color w:val="000000"/>
      <w:spacing w:val="60"/>
      <w:w w:val="100"/>
      <w:position w:val="0"/>
      <w:sz w:val="23"/>
      <w:szCs w:val="23"/>
      <w:u w:val="none"/>
      <w:lang w:val="hr-HR"/>
    </w:rPr>
  </w:style>
  <w:style w:type="character" w:customStyle="1" w:styleId="Bodytext12pt">
    <w:name w:val="Body text + 12 pt"/>
    <w:basedOn w:val="Bodytext"/>
    <w:rPr>
      <w:rFonts w:ascii="Tahoma" w:eastAsia="Tahoma" w:hAnsi="Tahoma" w:cs="Tahoma"/>
      <w:b w:val="0"/>
      <w:bCs w:val="0"/>
      <w:i w:val="0"/>
      <w:iCs w:val="0"/>
      <w:smallCaps w:val="0"/>
      <w:strike w:val="0"/>
      <w:color w:val="000000"/>
      <w:spacing w:val="0"/>
      <w:w w:val="100"/>
      <w:position w:val="0"/>
      <w:sz w:val="24"/>
      <w:szCs w:val="24"/>
      <w:u w:val="none"/>
      <w:lang w:val="hr-HR"/>
    </w:rPr>
  </w:style>
  <w:style w:type="character" w:customStyle="1" w:styleId="Bodytext105ptBold">
    <w:name w:val="Body text + 10;5 pt;Bold"/>
    <w:basedOn w:val="Bodytext"/>
    <w:rPr>
      <w:rFonts w:ascii="Tahoma" w:eastAsia="Tahoma" w:hAnsi="Tahoma" w:cs="Tahoma"/>
      <w:b/>
      <w:bCs/>
      <w:i w:val="0"/>
      <w:iCs w:val="0"/>
      <w:smallCaps w:val="0"/>
      <w:strike w:val="0"/>
      <w:color w:val="000000"/>
      <w:spacing w:val="0"/>
      <w:w w:val="100"/>
      <w:position w:val="0"/>
      <w:sz w:val="21"/>
      <w:szCs w:val="21"/>
      <w:u w:val="single"/>
      <w:lang w:val="hr-HR"/>
    </w:rPr>
  </w:style>
  <w:style w:type="character" w:customStyle="1" w:styleId="Bodytext105ptBold0">
    <w:name w:val="Body text + 10;5 pt;Bold"/>
    <w:basedOn w:val="Bodytext"/>
    <w:rPr>
      <w:rFonts w:ascii="Tahoma" w:eastAsia="Tahoma" w:hAnsi="Tahoma" w:cs="Tahoma"/>
      <w:b/>
      <w:bCs/>
      <w:i w:val="0"/>
      <w:iCs w:val="0"/>
      <w:smallCaps w:val="0"/>
      <w:strike w:val="0"/>
      <w:color w:val="000000"/>
      <w:spacing w:val="0"/>
      <w:w w:val="100"/>
      <w:position w:val="0"/>
      <w:sz w:val="21"/>
      <w:szCs w:val="21"/>
      <w:u w:val="none"/>
    </w:rPr>
  </w:style>
  <w:style w:type="character" w:customStyle="1" w:styleId="Bodytext5">
    <w:name w:val="Body text (5)_"/>
    <w:basedOn w:val="DefaultParagraphFont"/>
    <w:link w:val="Bodytext50"/>
    <w:rPr>
      <w:rFonts w:ascii="Tahoma" w:eastAsia="Tahoma" w:hAnsi="Tahoma" w:cs="Tahoma"/>
      <w:b/>
      <w:bCs/>
      <w:i w:val="0"/>
      <w:iCs w:val="0"/>
      <w:smallCaps w:val="0"/>
      <w:strike w:val="0"/>
      <w:sz w:val="27"/>
      <w:szCs w:val="27"/>
      <w:u w:val="none"/>
    </w:rPr>
  </w:style>
  <w:style w:type="character" w:customStyle="1" w:styleId="Bodytext4Exact">
    <w:name w:val="Body text (4) Exact"/>
    <w:basedOn w:val="DefaultParagraphFont"/>
    <w:rPr>
      <w:rFonts w:ascii="Tahoma" w:eastAsia="Tahoma" w:hAnsi="Tahoma" w:cs="Tahoma"/>
      <w:b/>
      <w:bCs/>
      <w:i w:val="0"/>
      <w:iCs w:val="0"/>
      <w:smallCaps w:val="0"/>
      <w:strike w:val="0"/>
      <w:spacing w:val="1"/>
      <w:sz w:val="22"/>
      <w:szCs w:val="22"/>
      <w:u w:val="none"/>
    </w:rPr>
  </w:style>
  <w:style w:type="paragraph" w:customStyle="1" w:styleId="Bodytext20">
    <w:name w:val="Body text (2)"/>
    <w:basedOn w:val="Normal"/>
    <w:link w:val="Bodytext2"/>
    <w:pPr>
      <w:shd w:val="clear" w:color="auto" w:fill="FFFFFF"/>
      <w:spacing w:line="274" w:lineRule="exact"/>
      <w:jc w:val="both"/>
    </w:pPr>
    <w:rPr>
      <w:rFonts w:ascii="Arial Narrow" w:eastAsia="Arial Narrow" w:hAnsi="Arial Narrow" w:cs="Arial Narrow"/>
      <w:b/>
      <w:bCs/>
      <w:spacing w:val="70"/>
      <w:sz w:val="25"/>
      <w:szCs w:val="25"/>
    </w:rPr>
  </w:style>
  <w:style w:type="paragraph" w:customStyle="1" w:styleId="Headerorfooter0">
    <w:name w:val="Header or footer"/>
    <w:basedOn w:val="Normal"/>
    <w:link w:val="Headerorfooter"/>
    <w:pPr>
      <w:shd w:val="clear" w:color="auto" w:fill="FFFFFF"/>
      <w:spacing w:line="202" w:lineRule="exact"/>
    </w:pPr>
    <w:rPr>
      <w:rFonts w:ascii="Tahoma" w:eastAsia="Tahoma" w:hAnsi="Tahoma" w:cs="Tahoma"/>
      <w:sz w:val="14"/>
      <w:szCs w:val="14"/>
    </w:rPr>
  </w:style>
  <w:style w:type="paragraph" w:customStyle="1" w:styleId="Bodytext30">
    <w:name w:val="Body text (3)"/>
    <w:basedOn w:val="Normal"/>
    <w:link w:val="Bodytext3"/>
    <w:pPr>
      <w:shd w:val="clear" w:color="auto" w:fill="FFFFFF"/>
      <w:spacing w:line="274" w:lineRule="exact"/>
      <w:jc w:val="both"/>
    </w:pPr>
    <w:rPr>
      <w:rFonts w:ascii="Arial Narrow" w:eastAsia="Arial Narrow" w:hAnsi="Arial Narrow" w:cs="Arial Narrow"/>
      <w:b/>
      <w:bCs/>
    </w:rPr>
  </w:style>
  <w:style w:type="paragraph" w:customStyle="1" w:styleId="Bodytext40">
    <w:name w:val="Body text (4)"/>
    <w:basedOn w:val="Normal"/>
    <w:link w:val="Bodytext4"/>
    <w:pPr>
      <w:shd w:val="clear" w:color="auto" w:fill="FFFFFF"/>
      <w:spacing w:before="240" w:after="240" w:line="288" w:lineRule="exact"/>
    </w:pPr>
    <w:rPr>
      <w:rFonts w:ascii="Tahoma" w:eastAsia="Tahoma" w:hAnsi="Tahoma" w:cs="Tahoma"/>
      <w:b/>
      <w:bCs/>
      <w:sz w:val="23"/>
      <w:szCs w:val="23"/>
    </w:rPr>
  </w:style>
  <w:style w:type="paragraph" w:customStyle="1" w:styleId="BodyText1">
    <w:name w:val="Body Text1"/>
    <w:basedOn w:val="Normal"/>
    <w:link w:val="Bodytext"/>
    <w:pPr>
      <w:shd w:val="clear" w:color="auto" w:fill="FFFFFF"/>
      <w:spacing w:before="240" w:line="326" w:lineRule="exact"/>
      <w:jc w:val="both"/>
    </w:pPr>
    <w:rPr>
      <w:rFonts w:ascii="Tahoma" w:eastAsia="Tahoma" w:hAnsi="Tahoma" w:cs="Tahoma"/>
      <w:sz w:val="23"/>
      <w:szCs w:val="23"/>
    </w:rPr>
  </w:style>
  <w:style w:type="paragraph" w:customStyle="1" w:styleId="Bodytext50">
    <w:name w:val="Body text (5)"/>
    <w:basedOn w:val="Normal"/>
    <w:link w:val="Bodytext5"/>
    <w:pPr>
      <w:shd w:val="clear" w:color="auto" w:fill="FFFFFF"/>
      <w:spacing w:before="480" w:line="0" w:lineRule="atLeast"/>
      <w:jc w:val="right"/>
    </w:pPr>
    <w:rPr>
      <w:rFonts w:ascii="Tahoma" w:eastAsia="Tahoma" w:hAnsi="Tahoma" w:cs="Tahoma"/>
      <w:b/>
      <w:bCs/>
      <w:sz w:val="27"/>
      <w:szCs w:val="27"/>
    </w:rPr>
  </w:style>
  <w:style w:type="paragraph" w:styleId="NoSpacing">
    <w:name w:val="No Spacing"/>
    <w:uiPriority w:val="1"/>
    <w:qFormat/>
    <w:rsid w:val="00EC35A2"/>
    <w:pPr>
      <w:widowControl/>
    </w:pPr>
    <w:rPr>
      <w:rFonts w:asciiTheme="minorHAnsi" w:eastAsiaTheme="minorHAnsi" w:hAnsiTheme="minorHAnsi" w:cstheme="minorBidi"/>
      <w:sz w:val="22"/>
      <w:szCs w:val="22"/>
      <w:lang w:val="sr-Latn-ME"/>
    </w:rPr>
  </w:style>
  <w:style w:type="paragraph" w:styleId="Header">
    <w:name w:val="header"/>
    <w:basedOn w:val="Normal"/>
    <w:link w:val="HeaderChar"/>
    <w:uiPriority w:val="99"/>
    <w:unhideWhenUsed/>
    <w:rsid w:val="00EC35A2"/>
    <w:pPr>
      <w:tabs>
        <w:tab w:val="center" w:pos="4536"/>
        <w:tab w:val="right" w:pos="9072"/>
      </w:tabs>
    </w:pPr>
  </w:style>
  <w:style w:type="character" w:customStyle="1" w:styleId="HeaderChar">
    <w:name w:val="Header Char"/>
    <w:basedOn w:val="DefaultParagraphFont"/>
    <w:link w:val="Header"/>
    <w:uiPriority w:val="99"/>
    <w:rsid w:val="00EC35A2"/>
    <w:rPr>
      <w:color w:val="000000"/>
    </w:rPr>
  </w:style>
  <w:style w:type="paragraph" w:styleId="Footer">
    <w:name w:val="footer"/>
    <w:basedOn w:val="Normal"/>
    <w:link w:val="FooterChar"/>
    <w:uiPriority w:val="99"/>
    <w:unhideWhenUsed/>
    <w:rsid w:val="00EC35A2"/>
    <w:pPr>
      <w:tabs>
        <w:tab w:val="center" w:pos="4536"/>
        <w:tab w:val="right" w:pos="9072"/>
      </w:tabs>
    </w:pPr>
  </w:style>
  <w:style w:type="character" w:customStyle="1" w:styleId="FooterChar">
    <w:name w:val="Footer Char"/>
    <w:basedOn w:val="DefaultParagraphFont"/>
    <w:link w:val="Footer"/>
    <w:uiPriority w:val="99"/>
    <w:rsid w:val="00EC35A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3298</Words>
  <Characters>18801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Mirsada Suljević</dc:creator>
  <cp:lastModifiedBy>Marija Perazić</cp:lastModifiedBy>
  <cp:revision>3</cp:revision>
  <dcterms:created xsi:type="dcterms:W3CDTF">2019-01-29T12:29:00Z</dcterms:created>
  <dcterms:modified xsi:type="dcterms:W3CDTF">2019-06-07T08:12:00Z</dcterms:modified>
</cp:coreProperties>
</file>