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19BBD1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F17422">
        <w:rPr>
          <w:rFonts w:ascii="Tahoma" w:hAnsi="Tahoma" w:cs="Tahoma"/>
          <w:b/>
          <w:sz w:val="24"/>
          <w:szCs w:val="24"/>
        </w:rPr>
        <w:t>2369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369E95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607230">
        <w:rPr>
          <w:rFonts w:ascii="Tahoma" w:hAnsi="Tahoma" w:cs="Tahoma"/>
          <w:b/>
          <w:sz w:val="24"/>
          <w:szCs w:val="24"/>
        </w:rPr>
        <w:t>18</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59B30AD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A47FE7">
        <w:rPr>
          <w:rFonts w:ascii="Tahoma" w:hAnsi="Tahoma" w:cs="Tahoma"/>
          <w:sz w:val="24"/>
          <w:szCs w:val="24"/>
        </w:rPr>
        <w:t>120126</w:t>
      </w:r>
      <w:r w:rsidR="001A60A7" w:rsidRPr="00BF52FE">
        <w:rPr>
          <w:rFonts w:ascii="Tahoma" w:hAnsi="Tahoma" w:cs="Tahoma"/>
          <w:sz w:val="24"/>
          <w:szCs w:val="24"/>
        </w:rPr>
        <w:t xml:space="preserve"> od </w:t>
      </w:r>
      <w:r w:rsidR="006D14CD" w:rsidRPr="0075417D">
        <w:rPr>
          <w:rFonts w:ascii="Tahoma" w:hAnsi="Tahoma" w:cs="Tahoma"/>
          <w:sz w:val="24"/>
          <w:szCs w:val="24"/>
        </w:rPr>
        <w:t>16.04</w:t>
      </w:r>
      <w:r w:rsidR="00056269" w:rsidRPr="0075417D">
        <w:rPr>
          <w:rFonts w:ascii="Tahoma" w:hAnsi="Tahoma" w:cs="Tahoma"/>
          <w:sz w:val="24"/>
          <w:szCs w:val="24"/>
        </w:rPr>
        <w:t>.2018</w:t>
      </w:r>
      <w:r w:rsidR="00CB697E" w:rsidRPr="0075417D">
        <w:rPr>
          <w:rFonts w:ascii="Tahoma" w:hAnsi="Tahoma" w:cs="Tahoma"/>
          <w:sz w:val="24"/>
          <w:szCs w:val="24"/>
        </w:rPr>
        <w:t>.godine</w:t>
      </w:r>
      <w:r w:rsidR="00F70027" w:rsidRPr="0075417D">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Tivat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6D14CD">
        <w:rPr>
          <w:rFonts w:ascii="Tahoma" w:hAnsi="Tahoma" w:cs="Tahoma"/>
          <w:sz w:val="24"/>
          <w:szCs w:val="24"/>
        </w:rPr>
        <w:t>954-121-UPI-8/2018</w:t>
      </w:r>
      <w:r w:rsidR="007E7F8D">
        <w:rPr>
          <w:rFonts w:ascii="Tahoma" w:hAnsi="Tahoma" w:cs="Tahoma"/>
          <w:sz w:val="24"/>
          <w:szCs w:val="24"/>
        </w:rPr>
        <w:t xml:space="preserve"> </w:t>
      </w:r>
      <w:r w:rsidR="006F59FE">
        <w:rPr>
          <w:rFonts w:ascii="Tahoma" w:hAnsi="Tahoma" w:cs="Tahoma"/>
          <w:sz w:val="24"/>
          <w:szCs w:val="24"/>
        </w:rPr>
        <w:t xml:space="preserve">od </w:t>
      </w:r>
      <w:r w:rsidR="006D14CD">
        <w:rPr>
          <w:rFonts w:ascii="Tahoma" w:hAnsi="Tahoma" w:cs="Tahoma"/>
          <w:sz w:val="24"/>
          <w:szCs w:val="24"/>
        </w:rPr>
        <w:t>20.03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6D14CD">
        <w:rPr>
          <w:rFonts w:ascii="Tahoma" w:hAnsi="Tahoma" w:cs="Tahoma"/>
          <w:sz w:val="24"/>
          <w:szCs w:val="24"/>
        </w:rPr>
        <w:t>19.07</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097988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Tivat broj: 954-121-UPI-8/2018 od 20.03.2018.godine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24CA0808" w:rsidR="00246769" w:rsidRPr="003C5778" w:rsidRDefault="00751B7F" w:rsidP="003C5778">
      <w:pPr>
        <w:spacing w:after="180"/>
        <w:ind w:left="40" w:right="20"/>
        <w:jc w:val="both"/>
        <w:rPr>
          <w:rFonts w:ascii="Tahoma" w:hAnsi="Tahoma" w:cs="Tahoma"/>
          <w:sz w:val="24"/>
          <w:szCs w:val="24"/>
        </w:rPr>
      </w:pPr>
      <w:r w:rsidRPr="003C5778">
        <w:rPr>
          <w:rFonts w:ascii="Tahoma" w:hAnsi="Tahoma" w:cs="Tahoma"/>
          <w:sz w:val="24"/>
          <w:szCs w:val="24"/>
        </w:rPr>
        <w:t xml:space="preserve">Prvostepeni organ je donio </w:t>
      </w:r>
      <w:r w:rsidR="00177D9B" w:rsidRPr="003C5778">
        <w:rPr>
          <w:rFonts w:ascii="Tahoma" w:hAnsi="Tahoma" w:cs="Tahoma"/>
          <w:sz w:val="24"/>
          <w:szCs w:val="24"/>
        </w:rPr>
        <w:t>rješenje</w:t>
      </w:r>
      <w:r w:rsidRPr="003C5778">
        <w:rPr>
          <w:rFonts w:ascii="Tahoma" w:hAnsi="Tahoma" w:cs="Tahoma"/>
          <w:sz w:val="24"/>
          <w:szCs w:val="24"/>
        </w:rPr>
        <w:t xml:space="preserve"> po osnovu podnijetog zahtjeva za slobodan pristup informacijama NVO Mans br. </w:t>
      </w:r>
      <w:r w:rsidR="000C7B78" w:rsidRPr="003C5778">
        <w:rPr>
          <w:rFonts w:ascii="Tahoma" w:hAnsi="Tahoma" w:cs="Tahoma"/>
          <w:sz w:val="24"/>
          <w:szCs w:val="24"/>
        </w:rPr>
        <w:t>18/</w:t>
      </w:r>
      <w:r w:rsidR="006D14CD" w:rsidRPr="003C5778">
        <w:rPr>
          <w:rFonts w:ascii="Tahoma" w:hAnsi="Tahoma" w:cs="Tahoma"/>
          <w:sz w:val="24"/>
          <w:szCs w:val="24"/>
        </w:rPr>
        <w:t>120126</w:t>
      </w:r>
      <w:r w:rsidR="003A5701" w:rsidRPr="003C5778">
        <w:rPr>
          <w:rFonts w:ascii="Tahoma" w:hAnsi="Tahoma" w:cs="Tahoma"/>
          <w:sz w:val="24"/>
          <w:szCs w:val="24"/>
        </w:rPr>
        <w:t xml:space="preserve"> </w:t>
      </w:r>
      <w:r w:rsidRPr="003C5778">
        <w:rPr>
          <w:rFonts w:ascii="Tahoma" w:hAnsi="Tahoma" w:cs="Tahoma"/>
          <w:sz w:val="24"/>
          <w:szCs w:val="24"/>
        </w:rPr>
        <w:t xml:space="preserve">od </w:t>
      </w:r>
      <w:r w:rsidR="006D14CD" w:rsidRPr="003C5778">
        <w:rPr>
          <w:rFonts w:ascii="Tahoma" w:hAnsi="Tahoma" w:cs="Tahoma"/>
          <w:sz w:val="24"/>
          <w:szCs w:val="24"/>
        </w:rPr>
        <w:t>07.03</w:t>
      </w:r>
      <w:r w:rsidR="007E349F" w:rsidRPr="003C5778">
        <w:rPr>
          <w:rFonts w:ascii="Tahoma" w:hAnsi="Tahoma" w:cs="Tahoma"/>
          <w:sz w:val="24"/>
          <w:szCs w:val="24"/>
        </w:rPr>
        <w:t>.2018</w:t>
      </w:r>
      <w:r w:rsidRPr="003C5778">
        <w:rPr>
          <w:rFonts w:ascii="Tahoma" w:hAnsi="Tahoma" w:cs="Tahoma"/>
          <w:sz w:val="24"/>
          <w:szCs w:val="24"/>
        </w:rPr>
        <w:t>.godine,</w:t>
      </w:r>
      <w:r w:rsidR="003A5701" w:rsidRPr="003C5778">
        <w:rPr>
          <w:rFonts w:ascii="Tahoma" w:hAnsi="Tahoma" w:cs="Tahoma"/>
          <w:sz w:val="24"/>
          <w:szCs w:val="24"/>
        </w:rPr>
        <w:t xml:space="preserve"> u kojem se navodi</w:t>
      </w:r>
      <w:r w:rsidR="00A64621" w:rsidRPr="003C5778">
        <w:rPr>
          <w:rFonts w:ascii="Tahoma" w:hAnsi="Tahoma" w:cs="Tahoma"/>
          <w:sz w:val="24"/>
          <w:szCs w:val="24"/>
        </w:rPr>
        <w:t xml:space="preserve">: </w:t>
      </w:r>
      <w:r w:rsidR="006F2A8E" w:rsidRPr="003C5778">
        <w:rPr>
          <w:rFonts w:ascii="Tahoma" w:hAnsi="Tahoma" w:cs="Tahoma"/>
          <w:sz w:val="24"/>
          <w:szCs w:val="24"/>
        </w:rPr>
        <w:t>„</w:t>
      </w:r>
      <w:r w:rsidR="006D14CD" w:rsidRPr="003C5778">
        <w:rPr>
          <w:rStyle w:val="BodytextBold"/>
          <w:rFonts w:ascii="Tahoma" w:eastAsiaTheme="minorEastAsia" w:hAnsi="Tahoma" w:cs="Tahoma"/>
          <w:b w:val="0"/>
          <w:sz w:val="24"/>
          <w:szCs w:val="24"/>
        </w:rPr>
        <w:t>Odbija</w:t>
      </w:r>
      <w:r w:rsidR="006D14CD" w:rsidRPr="003C5778">
        <w:rPr>
          <w:rStyle w:val="BodytextBoldSpacing3pt"/>
          <w:rFonts w:ascii="Tahoma" w:eastAsiaTheme="minorEastAsia" w:hAnsi="Tahoma" w:cs="Tahoma"/>
          <w:b w:val="0"/>
          <w:sz w:val="24"/>
          <w:szCs w:val="24"/>
        </w:rPr>
        <w:t xml:space="preserve"> </w:t>
      </w:r>
      <w:r w:rsidR="006D14CD" w:rsidRPr="003C5778">
        <w:rPr>
          <w:rStyle w:val="BodytextBold"/>
          <w:rFonts w:ascii="Tahoma" w:eastAsiaTheme="minorEastAsia" w:hAnsi="Tahoma" w:cs="Tahoma"/>
          <w:b w:val="0"/>
          <w:sz w:val="24"/>
          <w:szCs w:val="24"/>
        </w:rPr>
        <w:t>se</w:t>
      </w:r>
      <w:r w:rsidR="006D14CD" w:rsidRPr="003C5778">
        <w:rPr>
          <w:rStyle w:val="BodytextBoldSpacing3pt"/>
          <w:rFonts w:ascii="Tahoma" w:eastAsiaTheme="minorEastAsia" w:hAnsi="Tahoma" w:cs="Tahoma"/>
          <w:sz w:val="24"/>
          <w:szCs w:val="24"/>
        </w:rPr>
        <w:t xml:space="preserve"> </w:t>
      </w:r>
      <w:r w:rsidR="006D14CD" w:rsidRPr="003C5778">
        <w:rPr>
          <w:rFonts w:ascii="Tahoma" w:hAnsi="Tahoma" w:cs="Tahoma"/>
          <w:color w:val="000000"/>
          <w:sz w:val="24"/>
          <w:szCs w:val="24"/>
          <w:lang w:val="hr-HR"/>
        </w:rPr>
        <w:t>zahtjev Mreže za afirmaciju nevladinog sektora -MANS, za komplet istorijat upisa nepokretnosti sa svom pratećom dokumentacijom, za kat.parcele broj 278, 491, 492, 318 i 422 KO Bogišići, opština Tivat, a koje se vode na “Hetta Asset Resolution Leasing” d.o.o. Podgorica, kao neosnovan</w:t>
      </w:r>
      <w:r w:rsidR="007E349F" w:rsidRPr="003C5778">
        <w:rPr>
          <w:rStyle w:val="Bodytext67pt"/>
          <w:rFonts w:ascii="Tahoma" w:eastAsia="Trebuchet MS" w:hAnsi="Tahoma" w:cs="Tahoma"/>
          <w:sz w:val="24"/>
          <w:szCs w:val="24"/>
        </w:rPr>
        <w:t>.</w:t>
      </w:r>
      <w:r w:rsidR="003A5701" w:rsidRPr="003C5778">
        <w:rPr>
          <w:rFonts w:ascii="Tahoma" w:hAnsi="Tahoma" w:cs="Tahoma"/>
          <w:sz w:val="24"/>
          <w:szCs w:val="24"/>
        </w:rPr>
        <w:t>“</w:t>
      </w:r>
      <w:r w:rsidR="00177D9B" w:rsidRPr="003C5778">
        <w:rPr>
          <w:rFonts w:ascii="Tahoma" w:hAnsi="Tahoma" w:cs="Tahoma"/>
          <w:sz w:val="24"/>
          <w:szCs w:val="24"/>
        </w:rPr>
        <w:t xml:space="preserve"> U obra</w:t>
      </w:r>
      <w:r w:rsidR="006D14CD" w:rsidRPr="003C5778">
        <w:rPr>
          <w:rFonts w:ascii="Tahoma" w:hAnsi="Tahoma" w:cs="Tahoma"/>
          <w:sz w:val="24"/>
          <w:szCs w:val="24"/>
        </w:rPr>
        <w:t>zloženju rješenja se navodi da je, p</w:t>
      </w:r>
      <w:r w:rsidR="006D14CD" w:rsidRPr="003C5778">
        <w:rPr>
          <w:rFonts w:ascii="Tahoma" w:hAnsi="Tahoma" w:cs="Tahoma"/>
          <w:color w:val="000000"/>
          <w:sz w:val="24"/>
          <w:szCs w:val="24"/>
          <w:lang w:val="hr-HR"/>
        </w:rPr>
        <w:t xml:space="preserve">ostupajući po podnijetom zahtjevu, izvršen  uvid u kat.operat ovog organa i to u KO Bogišići, za </w:t>
      </w:r>
      <w:r w:rsidR="006D14CD" w:rsidRPr="003C5778">
        <w:rPr>
          <w:rFonts w:ascii="Tahoma" w:hAnsi="Tahoma" w:cs="Tahoma"/>
          <w:color w:val="000000"/>
          <w:sz w:val="24"/>
          <w:szCs w:val="24"/>
          <w:lang w:val="en-US"/>
        </w:rPr>
        <w:t xml:space="preserve">kat.parc.br. </w:t>
      </w:r>
      <w:r w:rsidR="006D14CD" w:rsidRPr="003C5778">
        <w:rPr>
          <w:rFonts w:ascii="Tahoma" w:hAnsi="Tahoma" w:cs="Tahoma"/>
          <w:color w:val="000000"/>
          <w:sz w:val="24"/>
          <w:szCs w:val="24"/>
          <w:lang w:val="hr-HR"/>
        </w:rPr>
        <w:t xml:space="preserve">278, 491, 492, 318, 422 KO Bogišići, utvrđeno je da se predmetne nepokretnosti ne vode na ime Hetta Asset Resolution Leasing d.o.o. Podgorica, već na druga fizička i pravna lica. Kako se zahtjev odnosio na dostavu komplet istorijata upisa za predmetne kat.parcele, sa naznakom da se vode na ime Hetta Asset Resolution Leasing d.o.o. Podgorica, utvrđeno je da se podaci iz zahtjeva za Slobodan pristup informacijama, ne slažu sa podacima iz listova </w:t>
      </w:r>
      <w:r w:rsidR="006D14CD" w:rsidRPr="003C5778">
        <w:rPr>
          <w:rFonts w:ascii="Tahoma" w:hAnsi="Tahoma" w:cs="Tahoma"/>
          <w:color w:val="000000"/>
          <w:sz w:val="24"/>
          <w:szCs w:val="24"/>
          <w:lang w:val="hr-HR"/>
        </w:rPr>
        <w:lastRenderedPageBreak/>
        <w:t>nepokretnosti (predmetnih kat.parcela), pa se zahtjev odbija kao neosnovan u skladu sa članom 29 stav 1 tačka 1 Zakona o slobodnom pristupu informacijama.</w:t>
      </w:r>
    </w:p>
    <w:p w14:paraId="39432C24" w14:textId="77777777" w:rsidR="003C5778" w:rsidRPr="003C5778" w:rsidRDefault="000965B2" w:rsidP="003C5778">
      <w:pPr>
        <w:spacing w:after="567"/>
        <w:ind w:left="40"/>
        <w:jc w:val="both"/>
        <w:rPr>
          <w:rFonts w:ascii="Tahoma" w:hAnsi="Tahoma" w:cs="Tahoma"/>
          <w:sz w:val="24"/>
          <w:szCs w:val="24"/>
        </w:rPr>
      </w:pPr>
      <w:r w:rsidRPr="003C5778">
        <w:rPr>
          <w:rFonts w:ascii="Tahoma" w:hAnsi="Tahoma" w:cs="Tahoma"/>
          <w:sz w:val="24"/>
          <w:szCs w:val="24"/>
        </w:rPr>
        <w:t xml:space="preserve">Protiv ovog </w:t>
      </w:r>
      <w:r w:rsidR="00177D9B" w:rsidRPr="003C5778">
        <w:rPr>
          <w:rFonts w:ascii="Tahoma" w:hAnsi="Tahoma" w:cs="Tahoma"/>
          <w:sz w:val="24"/>
          <w:szCs w:val="24"/>
        </w:rPr>
        <w:t>rješenja</w:t>
      </w:r>
      <w:r w:rsidRPr="003C5778">
        <w:rPr>
          <w:rFonts w:ascii="Tahoma" w:hAnsi="Tahoma" w:cs="Tahoma"/>
          <w:sz w:val="24"/>
          <w:szCs w:val="24"/>
        </w:rPr>
        <w:t xml:space="preserve"> u zakon</w:t>
      </w:r>
      <w:r w:rsidR="00755127" w:rsidRPr="003C5778">
        <w:rPr>
          <w:rFonts w:ascii="Tahoma" w:hAnsi="Tahoma" w:cs="Tahoma"/>
          <w:sz w:val="24"/>
          <w:szCs w:val="24"/>
        </w:rPr>
        <w:t>s</w:t>
      </w:r>
      <w:r w:rsidRPr="003C5778">
        <w:rPr>
          <w:rFonts w:ascii="Tahoma" w:hAnsi="Tahoma" w:cs="Tahoma"/>
          <w:sz w:val="24"/>
          <w:szCs w:val="24"/>
        </w:rPr>
        <w:t>kom roku podnosilac zahtjeva je uložio žalbu.</w:t>
      </w:r>
      <w:r w:rsidR="00F676FF" w:rsidRPr="003C5778">
        <w:rPr>
          <w:rFonts w:ascii="Tahoma" w:hAnsi="Tahoma" w:cs="Tahoma"/>
          <w:sz w:val="24"/>
          <w:szCs w:val="24"/>
        </w:rPr>
        <w:t xml:space="preserve"> U žalbi je navedeno da </w:t>
      </w:r>
      <w:r w:rsidR="00594122" w:rsidRPr="003C5778">
        <w:rPr>
          <w:rFonts w:ascii="Tahoma" w:hAnsi="Tahoma" w:cs="Tahoma"/>
          <w:sz w:val="24"/>
          <w:szCs w:val="24"/>
        </w:rPr>
        <w:t xml:space="preserve">se </w:t>
      </w:r>
      <w:r w:rsidR="00F676FF" w:rsidRPr="003C5778">
        <w:rPr>
          <w:rFonts w:ascii="Tahoma" w:hAnsi="Tahoma" w:cs="Tahoma"/>
          <w:sz w:val="24"/>
          <w:szCs w:val="24"/>
        </w:rPr>
        <w:t xml:space="preserve">rješenje pobija </w:t>
      </w:r>
      <w:r w:rsidR="005A397F" w:rsidRPr="003C5778">
        <w:rPr>
          <w:rFonts w:ascii="Tahoma" w:hAnsi="Tahoma" w:cs="Tahoma"/>
          <w:sz w:val="24"/>
          <w:szCs w:val="24"/>
        </w:rPr>
        <w:t>zbog</w:t>
      </w:r>
      <w:r w:rsidR="001A59B3" w:rsidRPr="003C5778">
        <w:rPr>
          <w:rFonts w:ascii="Tahoma" w:hAnsi="Tahoma" w:cs="Tahoma"/>
          <w:sz w:val="24"/>
          <w:szCs w:val="24"/>
        </w:rPr>
        <w:t xml:space="preserve"> povrede pravila postupka</w:t>
      </w:r>
      <w:r w:rsidR="00246769" w:rsidRPr="003C5778">
        <w:rPr>
          <w:rFonts w:ascii="Tahoma" w:hAnsi="Tahoma" w:cs="Tahoma"/>
          <w:sz w:val="24"/>
          <w:szCs w:val="24"/>
        </w:rPr>
        <w:t>, pogrešne primjene materijalnog propisa i nepotpuno i nepravilno utvrđenog činjeničnog stanja</w:t>
      </w:r>
      <w:r w:rsidR="00F676FF" w:rsidRPr="003C5778">
        <w:rPr>
          <w:rFonts w:ascii="Tahoma" w:hAnsi="Tahoma" w:cs="Tahoma"/>
          <w:sz w:val="24"/>
          <w:szCs w:val="24"/>
        </w:rPr>
        <w:t xml:space="preserve">. U </w:t>
      </w:r>
      <w:r w:rsidR="005D6ACA" w:rsidRPr="003C5778">
        <w:rPr>
          <w:rFonts w:ascii="Tahoma" w:hAnsi="Tahoma" w:cs="Tahoma"/>
          <w:sz w:val="24"/>
          <w:szCs w:val="24"/>
        </w:rPr>
        <w:t>bitnom se</w:t>
      </w:r>
      <w:r w:rsidR="00881AAC" w:rsidRPr="003C5778">
        <w:rPr>
          <w:rFonts w:ascii="Tahoma" w:hAnsi="Tahoma" w:cs="Tahoma"/>
          <w:sz w:val="24"/>
          <w:szCs w:val="24"/>
        </w:rPr>
        <w:t xml:space="preserve"> navodi</w:t>
      </w:r>
      <w:r w:rsidR="00196084" w:rsidRPr="003C5778">
        <w:rPr>
          <w:rFonts w:ascii="Tahoma" w:hAnsi="Tahoma" w:cs="Tahoma"/>
          <w:sz w:val="24"/>
          <w:szCs w:val="24"/>
        </w:rPr>
        <w:t xml:space="preserve"> </w:t>
      </w:r>
      <w:r w:rsidR="00325DB0" w:rsidRPr="003C5778">
        <w:rPr>
          <w:rFonts w:ascii="Tahoma" w:hAnsi="Tahoma" w:cs="Tahoma"/>
          <w:sz w:val="24"/>
          <w:szCs w:val="24"/>
        </w:rPr>
        <w:t xml:space="preserve">da je </w:t>
      </w:r>
      <w:r w:rsidR="000822AF" w:rsidRPr="003C5778">
        <w:rPr>
          <w:rFonts w:ascii="Tahoma" w:hAnsi="Tahoma" w:cs="Tahoma"/>
          <w:sz w:val="24"/>
          <w:szCs w:val="24"/>
        </w:rPr>
        <w:t>d</w:t>
      </w:r>
      <w:r w:rsidR="007C07AF" w:rsidRPr="003C5778">
        <w:rPr>
          <w:rFonts w:ascii="Tahoma" w:hAnsi="Tahoma" w:cs="Tahoma"/>
          <w:sz w:val="24"/>
          <w:szCs w:val="24"/>
        </w:rPr>
        <w:t xml:space="preserve">ana </w:t>
      </w:r>
      <w:r w:rsidR="00B456FB" w:rsidRPr="003C5778">
        <w:rPr>
          <w:rFonts w:ascii="Tahoma" w:hAnsi="Tahoma" w:cs="Tahoma"/>
          <w:sz w:val="24"/>
          <w:szCs w:val="24"/>
          <w:lang w:val="hr-HR"/>
        </w:rPr>
        <w:t>07.03.</w:t>
      </w:r>
      <w:r w:rsidR="006717B3" w:rsidRPr="003C5778">
        <w:rPr>
          <w:rFonts w:ascii="Tahoma" w:hAnsi="Tahoma" w:cs="Tahoma"/>
          <w:sz w:val="24"/>
          <w:szCs w:val="24"/>
          <w:lang w:val="hr-HR"/>
        </w:rPr>
        <w:t>2018.</w:t>
      </w:r>
      <w:r w:rsidR="00EF4097" w:rsidRPr="003C5778">
        <w:rPr>
          <w:rFonts w:ascii="Tahoma" w:hAnsi="Tahoma" w:cs="Tahoma"/>
          <w:sz w:val="24"/>
          <w:szCs w:val="24"/>
          <w:lang w:val="hr-HR"/>
        </w:rPr>
        <w:t xml:space="preserve">godine </w:t>
      </w:r>
      <w:r w:rsidR="00EF4097" w:rsidRPr="003C5778">
        <w:rPr>
          <w:rFonts w:ascii="Tahoma" w:hAnsi="Tahoma" w:cs="Tahoma"/>
          <w:sz w:val="24"/>
          <w:szCs w:val="24"/>
        </w:rPr>
        <w:t>Mrež</w:t>
      </w:r>
      <w:r w:rsidR="00B456FB" w:rsidRPr="003C5778">
        <w:rPr>
          <w:rFonts w:ascii="Tahoma" w:hAnsi="Tahoma" w:cs="Tahoma"/>
          <w:sz w:val="24"/>
          <w:szCs w:val="24"/>
        </w:rPr>
        <w:t>a</w:t>
      </w:r>
      <w:r w:rsidR="00EF4097" w:rsidRPr="003C5778">
        <w:rPr>
          <w:rFonts w:ascii="Tahoma" w:hAnsi="Tahoma" w:cs="Tahoma"/>
          <w:sz w:val="24"/>
          <w:szCs w:val="24"/>
        </w:rPr>
        <w:t xml:space="preserve"> za afirmaciju nevladinog sektora - MANS</w:t>
      </w:r>
      <w:r w:rsidR="00183236" w:rsidRPr="003C5778">
        <w:rPr>
          <w:rFonts w:ascii="Tahoma" w:hAnsi="Tahoma" w:cs="Tahoma"/>
          <w:sz w:val="24"/>
          <w:szCs w:val="24"/>
          <w:lang w:val="hr-HR"/>
        </w:rPr>
        <w:t xml:space="preserve">  po</w:t>
      </w:r>
      <w:r w:rsidR="00EF4097" w:rsidRPr="003C5778">
        <w:rPr>
          <w:rFonts w:ascii="Tahoma" w:hAnsi="Tahoma" w:cs="Tahoma"/>
          <w:sz w:val="24"/>
          <w:szCs w:val="24"/>
          <w:lang w:val="hr-HR"/>
        </w:rPr>
        <w:t>dnij</w:t>
      </w:r>
      <w:r w:rsidR="00A54EB0" w:rsidRPr="003C5778">
        <w:rPr>
          <w:rFonts w:ascii="Tahoma" w:hAnsi="Tahoma" w:cs="Tahoma"/>
          <w:sz w:val="24"/>
          <w:szCs w:val="24"/>
          <w:lang w:val="hr-HR"/>
        </w:rPr>
        <w:t xml:space="preserve">ela zahtjev za slobodan pristup </w:t>
      </w:r>
      <w:r w:rsidR="00EF4097" w:rsidRPr="003C5778">
        <w:rPr>
          <w:rFonts w:ascii="Tahoma" w:hAnsi="Tahoma" w:cs="Tahoma"/>
          <w:sz w:val="24"/>
          <w:szCs w:val="24"/>
          <w:lang w:val="hr-HR"/>
        </w:rPr>
        <w:t>informacijama kojim su</w:t>
      </w:r>
      <w:r w:rsidR="006717B3" w:rsidRPr="003C5778">
        <w:rPr>
          <w:rFonts w:ascii="Tahoma" w:hAnsi="Tahoma" w:cs="Tahoma"/>
          <w:sz w:val="24"/>
          <w:szCs w:val="24"/>
          <w:lang w:val="hr-HR"/>
        </w:rPr>
        <w:t xml:space="preserve"> zatražili dostavljanje kopije</w:t>
      </w:r>
      <w:r w:rsidR="00B456FB" w:rsidRPr="003C5778">
        <w:rPr>
          <w:rFonts w:ascii="Tahoma" w:hAnsi="Tahoma" w:cs="Tahoma"/>
          <w:color w:val="000000"/>
          <w:sz w:val="24"/>
          <w:szCs w:val="24"/>
          <w:lang w:val="hr-HR"/>
        </w:rPr>
        <w:t xml:space="preserve"> komplet istorijat upisa nepokretnosti sa svom pratećom dokumentacijom, za kat.parcele broj 278, 491, 492, 318 i 422 KO Bogišići, opština Tivat, a koje se vode na “Hetta Asset Resolution Leasing” d.o.o. Podgorica</w:t>
      </w:r>
      <w:r w:rsidR="00A54EB0" w:rsidRPr="003C5778">
        <w:rPr>
          <w:rFonts w:ascii="Tahoma" w:hAnsi="Tahoma" w:cs="Tahoma"/>
          <w:sz w:val="24"/>
          <w:szCs w:val="24"/>
          <w:lang w:val="hr-HR"/>
        </w:rPr>
        <w:t>.</w:t>
      </w:r>
      <w:r w:rsidR="00EF4097" w:rsidRPr="003C5778">
        <w:rPr>
          <w:rFonts w:ascii="Tahoma" w:hAnsi="Tahoma" w:cs="Tahoma"/>
          <w:sz w:val="24"/>
          <w:szCs w:val="24"/>
        </w:rPr>
        <w:t xml:space="preserve"> </w:t>
      </w:r>
      <w:r w:rsidR="00F7373D" w:rsidRPr="003C5778">
        <w:rPr>
          <w:rFonts w:ascii="Tahoma" w:hAnsi="Tahoma" w:cs="Tahoma"/>
          <w:sz w:val="24"/>
          <w:szCs w:val="24"/>
          <w:lang w:val="hr-HR"/>
        </w:rPr>
        <w:t xml:space="preserve">Dana </w:t>
      </w:r>
      <w:r w:rsidR="00B456FB" w:rsidRPr="003C5778">
        <w:rPr>
          <w:rFonts w:ascii="Tahoma" w:hAnsi="Tahoma" w:cs="Tahoma"/>
          <w:sz w:val="24"/>
          <w:szCs w:val="24"/>
          <w:lang w:val="hr-HR"/>
        </w:rPr>
        <w:t>27.03.</w:t>
      </w:r>
      <w:r w:rsidR="00F7373D" w:rsidRPr="003C5778">
        <w:rPr>
          <w:rFonts w:ascii="Tahoma" w:hAnsi="Tahoma" w:cs="Tahoma"/>
          <w:sz w:val="24"/>
          <w:szCs w:val="24"/>
          <w:lang w:val="hr-HR"/>
        </w:rPr>
        <w:t xml:space="preserve">2018.godine Uprava </w:t>
      </w:r>
      <w:r w:rsidR="00B456FB" w:rsidRPr="003C5778">
        <w:rPr>
          <w:rFonts w:ascii="Tahoma" w:hAnsi="Tahoma" w:cs="Tahoma"/>
          <w:sz w:val="24"/>
          <w:szCs w:val="24"/>
          <w:lang w:val="hr-HR"/>
        </w:rPr>
        <w:t>za nekretnine PJ Tivat</w:t>
      </w:r>
      <w:r w:rsidR="00E63559" w:rsidRPr="003C5778">
        <w:rPr>
          <w:rFonts w:ascii="Tahoma" w:hAnsi="Tahoma" w:cs="Tahoma"/>
          <w:sz w:val="24"/>
          <w:szCs w:val="24"/>
          <w:lang w:val="hr-HR"/>
        </w:rPr>
        <w:t xml:space="preserve"> dostavlja rješenje Broj: </w:t>
      </w:r>
      <w:r w:rsidR="00B456FB" w:rsidRPr="003C5778">
        <w:rPr>
          <w:rFonts w:ascii="Tahoma" w:hAnsi="Tahoma" w:cs="Tahoma"/>
          <w:sz w:val="24"/>
          <w:szCs w:val="24"/>
        </w:rPr>
        <w:t>954-121-UPI-8/2018 od 20.03.2018.godine</w:t>
      </w:r>
      <w:r w:rsidR="00B456FB" w:rsidRPr="003C5778">
        <w:rPr>
          <w:rFonts w:ascii="Tahoma" w:hAnsi="Tahoma" w:cs="Tahoma"/>
          <w:sz w:val="24"/>
          <w:szCs w:val="24"/>
          <w:lang w:val="hr-HR"/>
        </w:rPr>
        <w:t xml:space="preserve"> </w:t>
      </w:r>
      <w:r w:rsidR="00E63559" w:rsidRPr="003C5778">
        <w:rPr>
          <w:rFonts w:ascii="Tahoma" w:hAnsi="Tahoma" w:cs="Tahoma"/>
          <w:sz w:val="24"/>
          <w:szCs w:val="24"/>
          <w:lang w:val="hr-HR"/>
        </w:rPr>
        <w:t>kojim odbija zahtjev</w:t>
      </w:r>
      <w:r w:rsidR="00B456FB" w:rsidRPr="003C5778">
        <w:rPr>
          <w:rFonts w:ascii="Tahoma" w:hAnsi="Tahoma" w:cs="Tahoma"/>
          <w:sz w:val="24"/>
          <w:szCs w:val="24"/>
          <w:lang w:val="hr-HR"/>
        </w:rPr>
        <w:t xml:space="preserve"> kao neosnovan</w:t>
      </w:r>
      <w:r w:rsidR="00F7373D" w:rsidRPr="003C5778">
        <w:rPr>
          <w:rFonts w:ascii="Tahoma" w:hAnsi="Tahoma" w:cs="Tahoma"/>
          <w:sz w:val="24"/>
          <w:szCs w:val="24"/>
          <w:lang w:val="hr-HR"/>
        </w:rPr>
        <w:t xml:space="preserve">. </w:t>
      </w:r>
      <w:r w:rsidR="00B456FB" w:rsidRPr="003C5778">
        <w:rPr>
          <w:rFonts w:ascii="Tahoma" w:hAnsi="Tahoma" w:cs="Tahoma"/>
          <w:color w:val="000000"/>
          <w:sz w:val="24"/>
          <w:szCs w:val="24"/>
          <w:lang w:val="hr-HR"/>
        </w:rPr>
        <w:t>U obrazloženju osporenog rješenja prvostepeni organ u bitnom navodi da se predmetne nepokretnosti ne vode na ime "Heta Asset Resolution Leasing" d</w:t>
      </w:r>
      <w:r w:rsidR="00B456FB" w:rsidRPr="003C5778">
        <w:rPr>
          <w:rFonts w:ascii="Tahoma" w:hAnsi="Tahoma" w:cs="Tahoma"/>
          <w:sz w:val="24"/>
          <w:szCs w:val="24"/>
          <w:lang w:val="hr-HR"/>
        </w:rPr>
        <w:t>.</w:t>
      </w:r>
      <w:r w:rsidR="00B456FB" w:rsidRPr="003C5778">
        <w:rPr>
          <w:rFonts w:ascii="Tahoma" w:hAnsi="Tahoma" w:cs="Tahoma"/>
          <w:color w:val="000000"/>
          <w:sz w:val="24"/>
          <w:szCs w:val="24"/>
          <w:lang w:val="hr-HR"/>
        </w:rPr>
        <w:t>o</w:t>
      </w:r>
      <w:r w:rsidR="00B456FB" w:rsidRPr="003C5778">
        <w:rPr>
          <w:rFonts w:ascii="Tahoma" w:hAnsi="Tahoma" w:cs="Tahoma"/>
          <w:sz w:val="24"/>
          <w:szCs w:val="24"/>
          <w:lang w:val="hr-HR"/>
        </w:rPr>
        <w:t>.</w:t>
      </w:r>
      <w:r w:rsidR="00B456FB" w:rsidRPr="003C5778">
        <w:rPr>
          <w:rFonts w:ascii="Tahoma" w:hAnsi="Tahoma" w:cs="Tahoma"/>
          <w:color w:val="000000"/>
          <w:sz w:val="24"/>
          <w:szCs w:val="24"/>
          <w:lang w:val="hr-HR"/>
        </w:rPr>
        <w:t>o</w:t>
      </w:r>
      <w:r w:rsidR="00B456FB" w:rsidRPr="003C5778">
        <w:rPr>
          <w:rFonts w:ascii="Tahoma" w:hAnsi="Tahoma" w:cs="Tahoma"/>
          <w:sz w:val="24"/>
          <w:szCs w:val="24"/>
          <w:lang w:val="hr-HR"/>
        </w:rPr>
        <w:t>.</w:t>
      </w:r>
      <w:r w:rsidR="00B456FB" w:rsidRPr="003C5778">
        <w:rPr>
          <w:rFonts w:ascii="Tahoma" w:hAnsi="Tahoma" w:cs="Tahoma"/>
          <w:color w:val="000000"/>
          <w:sz w:val="24"/>
          <w:szCs w:val="24"/>
          <w:lang w:val="hr-HR"/>
        </w:rPr>
        <w:t xml:space="preserve"> Podgorica već na druga fizička i pravna lica, te da se podaci iz zahtjeva ne slažu sa podacima iz listova nepokretnosti zbog čega je odlučeno kao u dispozitivu rješenja, a na osnovu odredbe člana 29 stav 1 tačka 1 Zakona o slobodnom pristupu informacijama. Žalilac osporava rješenje prvostepenog organa i smatra da prilikom donošenja istog nije pravilno utvrđeno činjenično stanje, te je isto nerazumljivo jer ne sadrži valjano obrazloženje, na koji način je počinjena povreda pravila postupka. Odredbom člana 51 stav 1 Ustava Crne Gore propisano je da svako ima pravo pristupa informacijama u posjedu državnih organa i organizacija koje vrše javna ovlašćenja.</w:t>
      </w:r>
      <w:r w:rsidR="003C5778" w:rsidRPr="003C5778">
        <w:rPr>
          <w:rFonts w:ascii="Tahoma" w:hAnsi="Tahoma" w:cs="Tahoma"/>
          <w:color w:val="000000"/>
          <w:sz w:val="24"/>
          <w:szCs w:val="24"/>
          <w:lang w:val="hr-HR"/>
        </w:rPr>
        <w:t xml:space="preserv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je prvostepeni organ pogrešno utvrdio činjenično stanje i da je paušano ograničio pristup traženim informacijama bez valjanog obrazloženja i pozivanja na odredbe Zakona o slobodnom pristupu informacijama, a u skladu sa kojima je jedino pravilno ograničiti pristup. Dakle, pozivanje na odredbu člana 29 stav 1 tačka 1 ovog zakona je neosnovano jer je navedenom odredbom propisano da će organ vlasti odbiti zahtjev za pristup infomaciji ako isti zahtijeva ili podrazumijeva sačinjavanje nove informacije. Kako je prvostepeni organ prethodno naveo da je utvrdio o kojim je informacijama riječ, a što se jasno može utvrditi i iz navedenih parcela, nesporno je da je prvostepeni organ utvrdio koje infomracije su predmet interesovanja, pa uprkos tome što iste nijesu upisane na navedenu firmu, već je firma </w:t>
      </w:r>
      <w:r w:rsidR="003C5778" w:rsidRPr="003C5778">
        <w:rPr>
          <w:rFonts w:ascii="Tahoma" w:hAnsi="Tahoma" w:cs="Tahoma"/>
          <w:color w:val="000000"/>
          <w:sz w:val="24"/>
          <w:szCs w:val="24"/>
          <w:lang w:val="hr-HR"/>
        </w:rPr>
        <w:lastRenderedPageBreak/>
        <w:t>upisana kao korisnik ovih nepokretnosti jasno je da je pristup bilo moguće ograničiti jer je utvrđeno o kojim nepokretnostima je riječ. Na osnovu navedenog se jasno utvrđuje da pristup traženim informacijama ne predstavlja niti zahtijeva sačinjavanje nove informacije, jer se radi o informacijama koje ovaj organ neporno posjeduje. Takođe, kako je nesporno o kojim nepokretnostima je riječ, ukoliko je prvostepenom organu bilo bitno da preciziramo da li se iste vode na navedenu firmu ili se radi o nepokretnostima koje navedena firma samo koristi, isti je imao mogućnost da nas u skladu sa odredbom člana 20 Zakona o slobodnom pritupu informacijama podnosiocu zahtjeva pruži pomoć u cilju ostvarenja pristupa i pozove na ispravku odnosno preciziranje zahtjeva, uz navođenje razloga koje je dao u obrazloženju rješenja. Međutim, prvostepeni organ, uprkos tome što je zahtjev jasan, precizan i po istom se može postupiti, uzima kao ključno dodatnu smjernicu koja je data u zahtjevu, a koje pri tom ne utiče na preciznost zahtjeva i paušalno i nezakonito ograničava pristup informacijama koje su u njegovom posjedu i odbija zahtjev po kome može postupiti jer je utvrdio o kojim nepokretnostima je riječ na osnovu brojeva parcela i katastarske opštine, a koji podaci su precizno dati.</w:t>
      </w:r>
      <w:r w:rsidR="003C5778" w:rsidRPr="003C5778">
        <w:rPr>
          <w:rFonts w:ascii="Tahoma" w:hAnsi="Tahoma" w:cs="Tahoma"/>
          <w:sz w:val="24"/>
          <w:szCs w:val="24"/>
        </w:rPr>
        <w:t xml:space="preserve"> Ž</w:t>
      </w:r>
      <w:r w:rsidR="003C5778" w:rsidRPr="003C5778">
        <w:rPr>
          <w:rFonts w:ascii="Tahoma" w:hAnsi="Tahoma" w:cs="Tahoma"/>
          <w:color w:val="000000"/>
          <w:sz w:val="24"/>
          <w:szCs w:val="24"/>
          <w:lang w:val="hr-HR"/>
        </w:rPr>
        <w:t xml:space="preserve">alilac ukazuje na to da je rješenje nerazumljivo i da nije jasno koji je razlog ograničenja pristupa traženim informacijama, te da dati razlozi ne predsatavljaju zakonski osnov za donošenje odluke kakva je data u dispozitivu rješenja. Odredbom člana 13 Zakona o slobodnom pristupu informacijama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te da je pogrešno utvrdio činjenično stanje i pogrešno primijenio materijalno pravo navodeći da bi sačinjavanje istih zahtijevalo ili podrazumijevalo sačinjavanje nove informacije, uprkos tome što prethodno ističe da je utvrdio o kojim informacijama je riječ. Dakle, kako su broj parcele i naziv katastarske opštine ključni podaci za postupanje ovog organa po zahtjevu, a koji su navedeni, jasno je da je odbijanje zahtjeva bez osnova i da „neslaganje podataka" nije i ne može biti razlog za odbijanje pristupa informacijama. Odredba člana 30 stav 3 Zakona o slobodnom pristupu informacijama propisuje da rješenje kojim se odbija zahtjev za </w:t>
      </w:r>
      <w:r w:rsidR="003C5778" w:rsidRPr="003C5778">
        <w:rPr>
          <w:rStyle w:val="Bodytext95pt"/>
          <w:rFonts w:ascii="Tahoma" w:hAnsi="Tahoma" w:cs="Tahoma"/>
          <w:sz w:val="24"/>
          <w:szCs w:val="24"/>
        </w:rPr>
        <w:t xml:space="preserve">pristup informaciji sadrži </w:t>
      </w:r>
      <w:r w:rsidR="003C5778" w:rsidRPr="003C5778">
        <w:rPr>
          <w:rFonts w:ascii="Tahoma" w:hAnsi="Tahoma" w:cs="Tahoma"/>
          <w:color w:val="000000"/>
          <w:sz w:val="24"/>
          <w:szCs w:val="24"/>
          <w:lang w:val="hr-HR"/>
        </w:rPr>
        <w:t xml:space="preserve">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w:t>
      </w:r>
      <w:r w:rsidR="003C5778" w:rsidRPr="003C5778">
        <w:rPr>
          <w:rFonts w:ascii="Tahoma" w:hAnsi="Tahoma" w:cs="Tahoma"/>
          <w:color w:val="000000"/>
          <w:sz w:val="24"/>
          <w:szCs w:val="24"/>
          <w:lang w:val="hr-HR"/>
        </w:rPr>
        <w:lastRenderedPageBreak/>
        <w:t>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predlaže da Agencija za zaštitu ličnih podataka i slobodan pristup informacijama poništi rješenje Uprava za nekretnine PJ Tivat broj: 954-121-UPI-8/2018 od dana 20. marta 2018. godine i meritorno odluči po žalbi te da obaveže prvostepeni organ da žaliocu naknadi troškove postupka shodno AT-u.</w:t>
      </w:r>
    </w:p>
    <w:p w14:paraId="21A931AA" w14:textId="77777777" w:rsidR="003E6673" w:rsidRDefault="00902FB7" w:rsidP="003E6673">
      <w:pPr>
        <w:spacing w:after="567"/>
        <w:ind w:left="40"/>
        <w:jc w:val="both"/>
        <w:rPr>
          <w:rFonts w:ascii="Tahoma" w:hAnsi="Tahoma" w:cs="Tahoma"/>
          <w:sz w:val="24"/>
          <w:szCs w:val="24"/>
        </w:rPr>
      </w:pPr>
      <w:r w:rsidRPr="003C5778">
        <w:rPr>
          <w:rFonts w:ascii="Tahoma" w:hAnsi="Tahoma" w:cs="Tahoma"/>
          <w:sz w:val="24"/>
          <w:szCs w:val="24"/>
        </w:rPr>
        <w:t>Nakon razmatranja spisa predmeta</w:t>
      </w:r>
      <w:r w:rsidR="004F0C01" w:rsidRPr="003C5778">
        <w:rPr>
          <w:rFonts w:ascii="Tahoma" w:hAnsi="Tahoma" w:cs="Tahoma"/>
          <w:sz w:val="24"/>
          <w:szCs w:val="24"/>
        </w:rPr>
        <w:t xml:space="preserve"> i</w:t>
      </w:r>
      <w:r w:rsidRPr="003C5778">
        <w:rPr>
          <w:rFonts w:ascii="Tahoma" w:hAnsi="Tahoma" w:cs="Tahoma"/>
          <w:sz w:val="24"/>
          <w:szCs w:val="24"/>
        </w:rPr>
        <w:t xml:space="preserve"> žalbenih navoda Savjet Agencije nalazi da je žalba osnovana.</w:t>
      </w:r>
    </w:p>
    <w:p w14:paraId="6EA32592" w14:textId="7E4B1673" w:rsidR="00BF68EB" w:rsidRPr="00DC4CCA" w:rsidRDefault="00BF68EB" w:rsidP="003E6673">
      <w:pPr>
        <w:spacing w:after="567"/>
        <w:ind w:left="40"/>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w:t>
      </w:r>
      <w:r w:rsidRPr="00DC4CCA">
        <w:rPr>
          <w:rFonts w:ascii="Tahoma" w:hAnsi="Tahoma" w:cs="Tahoma"/>
          <w:sz w:val="24"/>
          <w:szCs w:val="24"/>
        </w:rPr>
        <w:lastRenderedPageBreak/>
        <w:t xml:space="preserve">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w:t>
      </w:r>
      <w:r>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03E537B9" w14:textId="77777777" w:rsidR="00BF68EB" w:rsidRPr="00DC4CCA" w:rsidRDefault="00BF68EB" w:rsidP="00BF68EB">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B503237" w14:textId="4F9EA985" w:rsidR="00BF68EB" w:rsidRPr="007B20E3" w:rsidRDefault="00BF68EB" w:rsidP="00DF0A77">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1B4ECB36" w:rsidR="00855827" w:rsidRPr="00BF52FE" w:rsidRDefault="00855827" w:rsidP="00DC4D13">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F3E31" w14:textId="77777777" w:rsidR="007F0E0B" w:rsidRDefault="007F0E0B" w:rsidP="004C7646">
      <w:pPr>
        <w:spacing w:after="0" w:line="240" w:lineRule="auto"/>
      </w:pPr>
      <w:r>
        <w:separator/>
      </w:r>
    </w:p>
  </w:endnote>
  <w:endnote w:type="continuationSeparator" w:id="0">
    <w:p w14:paraId="0C3282F8" w14:textId="77777777" w:rsidR="007F0E0B" w:rsidRDefault="007F0E0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F0E0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F0E0B" w:rsidP="00EA2993">
    <w:pPr>
      <w:pStyle w:val="Footer"/>
      <w:rPr>
        <w:b/>
        <w:sz w:val="16"/>
        <w:szCs w:val="16"/>
      </w:rPr>
    </w:pPr>
  </w:p>
  <w:p w14:paraId="1341C81A" w14:textId="77777777" w:rsidR="0090753B" w:rsidRPr="00E62A90" w:rsidRDefault="007F0E0B" w:rsidP="00E62A90">
    <w:pPr>
      <w:pStyle w:val="Footer"/>
      <w:shd w:val="clear" w:color="auto" w:fill="FF0000"/>
      <w:jc w:val="center"/>
      <w:rPr>
        <w:b/>
        <w:color w:val="FF0000"/>
        <w:sz w:val="2"/>
        <w:szCs w:val="2"/>
      </w:rPr>
    </w:pPr>
  </w:p>
  <w:p w14:paraId="5DA6457D" w14:textId="77777777" w:rsidR="0090753B" w:rsidRDefault="007F0E0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F0E0B">
    <w:pPr>
      <w:pStyle w:val="Footer"/>
    </w:pPr>
  </w:p>
  <w:p w14:paraId="74BC30A6" w14:textId="77777777" w:rsidR="0090753B" w:rsidRDefault="007F0E0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1D430" w14:textId="77777777" w:rsidR="007F0E0B" w:rsidRDefault="007F0E0B" w:rsidP="004C7646">
      <w:pPr>
        <w:spacing w:after="0" w:line="240" w:lineRule="auto"/>
      </w:pPr>
      <w:r>
        <w:separator/>
      </w:r>
    </w:p>
  </w:footnote>
  <w:footnote w:type="continuationSeparator" w:id="0">
    <w:p w14:paraId="387A872D" w14:textId="77777777" w:rsidR="007F0E0B" w:rsidRDefault="007F0E0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3E14"/>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3683"/>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6673"/>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230"/>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200"/>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17D"/>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0E0B"/>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780"/>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79"/>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4ADA"/>
    <w:rsid w:val="00BA5EF4"/>
    <w:rsid w:val="00BA7788"/>
    <w:rsid w:val="00BA7C11"/>
    <w:rsid w:val="00BB1A26"/>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39A7"/>
    <w:rsid w:val="00BF4C18"/>
    <w:rsid w:val="00BF5142"/>
    <w:rsid w:val="00BF52FE"/>
    <w:rsid w:val="00BF5A7D"/>
    <w:rsid w:val="00BF5D6C"/>
    <w:rsid w:val="00BF68EB"/>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53E"/>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C4D13"/>
    <w:rsid w:val="00DD35E1"/>
    <w:rsid w:val="00DD3EBE"/>
    <w:rsid w:val="00DE1B36"/>
    <w:rsid w:val="00DE481B"/>
    <w:rsid w:val="00DE5D39"/>
    <w:rsid w:val="00DE61D5"/>
    <w:rsid w:val="00DE7C1C"/>
    <w:rsid w:val="00DF0A77"/>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07ACB-ED42-4E5E-80C4-C46F0293C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23</cp:revision>
  <cp:lastPrinted>2018-01-21T09:51:00Z</cp:lastPrinted>
  <dcterms:created xsi:type="dcterms:W3CDTF">2019-01-17T08:54:00Z</dcterms:created>
  <dcterms:modified xsi:type="dcterms:W3CDTF">2019-06-06T06:09:00Z</dcterms:modified>
</cp:coreProperties>
</file>