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0E5D83">
        <w:rPr>
          <w:rFonts w:ascii="Tahoma" w:hAnsi="Tahoma" w:cs="Tahoma"/>
          <w:b/>
          <w:sz w:val="24"/>
          <w:szCs w:val="24"/>
          <w:lang w:val="sr-Latn-ME"/>
        </w:rPr>
        <w:t>432</w:t>
      </w:r>
      <w:r w:rsidR="00282C73">
        <w:rPr>
          <w:rFonts w:ascii="Tahoma" w:hAnsi="Tahoma" w:cs="Tahoma"/>
          <w:b/>
          <w:sz w:val="24"/>
          <w:szCs w:val="24"/>
          <w:lang w:val="sr-Latn-ME"/>
        </w:rPr>
        <w:t>6</w:t>
      </w:r>
      <w:r w:rsidRPr="0007774D">
        <w:rPr>
          <w:rFonts w:ascii="Tahoma" w:hAnsi="Tahoma" w:cs="Tahoma"/>
          <w:b/>
          <w:sz w:val="24"/>
          <w:szCs w:val="24"/>
          <w:lang w:val="sr-Latn-ME"/>
        </w:rPr>
        <w:t>-2/1</w:t>
      </w:r>
      <w:r w:rsidR="004D7120">
        <w:rPr>
          <w:rFonts w:ascii="Tahoma" w:hAnsi="Tahoma" w:cs="Tahoma"/>
          <w:b/>
          <w:sz w:val="24"/>
          <w:szCs w:val="24"/>
          <w:lang w:val="sr-Latn-ME"/>
        </w:rPr>
        <w:t>7</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D05FDA">
        <w:rPr>
          <w:rFonts w:ascii="Tahoma" w:eastAsiaTheme="minorEastAsia" w:hAnsi="Tahoma" w:cs="Tahoma"/>
          <w:b/>
          <w:sz w:val="24"/>
          <w:szCs w:val="24"/>
          <w:lang w:val="sr-Latn-ME" w:eastAsia="sr-Latn-ME"/>
        </w:rPr>
        <w:t>12</w:t>
      </w:r>
      <w:r w:rsidRPr="0007774D">
        <w:rPr>
          <w:rFonts w:ascii="Tahoma" w:eastAsiaTheme="minorEastAsia" w:hAnsi="Tahoma" w:cs="Tahoma"/>
          <w:b/>
          <w:sz w:val="24"/>
          <w:szCs w:val="24"/>
          <w:lang w:val="sr-Latn-ME" w:eastAsia="sr-Latn-ME"/>
        </w:rPr>
        <w:t>.</w:t>
      </w:r>
      <w:r w:rsidR="00F84081" w:rsidRPr="0007774D">
        <w:rPr>
          <w:rFonts w:ascii="Tahoma" w:eastAsiaTheme="minorEastAsia" w:hAnsi="Tahoma" w:cs="Tahoma"/>
          <w:b/>
          <w:sz w:val="24"/>
          <w:szCs w:val="24"/>
          <w:lang w:val="sr-Latn-ME" w:eastAsia="sr-Latn-ME"/>
        </w:rPr>
        <w:t>0</w:t>
      </w:r>
      <w:r w:rsidR="00D05FDA">
        <w:rPr>
          <w:rFonts w:ascii="Tahoma" w:eastAsiaTheme="minorEastAsia" w:hAnsi="Tahoma" w:cs="Tahoma"/>
          <w:b/>
          <w:sz w:val="24"/>
          <w:szCs w:val="24"/>
          <w:lang w:val="sr-Latn-ME" w:eastAsia="sr-Latn-ME"/>
        </w:rPr>
        <w:t>3</w:t>
      </w:r>
      <w:r w:rsidRPr="0007774D">
        <w:rPr>
          <w:rFonts w:ascii="Tahoma" w:eastAsiaTheme="minorEastAsia" w:hAnsi="Tahoma" w:cs="Tahoma"/>
          <w:b/>
          <w:sz w:val="24"/>
          <w:szCs w:val="24"/>
          <w:lang w:val="sr-Latn-ME" w:eastAsia="sr-Latn-ME"/>
        </w:rPr>
        <w:t>.201</w:t>
      </w:r>
      <w:r w:rsidR="00D05FDA">
        <w:rPr>
          <w:rFonts w:ascii="Tahoma" w:eastAsiaTheme="minorEastAsia" w:hAnsi="Tahoma" w:cs="Tahoma"/>
          <w:b/>
          <w:sz w:val="24"/>
          <w:szCs w:val="24"/>
          <w:lang w:val="sr-Latn-ME" w:eastAsia="sr-Latn-ME"/>
        </w:rPr>
        <w:t>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E5D83">
        <w:rPr>
          <w:rFonts w:ascii="Tahoma" w:eastAsiaTheme="minorEastAsia" w:hAnsi="Tahoma" w:cs="Tahoma"/>
          <w:sz w:val="24"/>
          <w:szCs w:val="24"/>
          <w:lang w:val="sr-Latn-ME" w:eastAsia="sr-Latn-ME"/>
        </w:rPr>
        <w:t>17/11442</w:t>
      </w:r>
      <w:r w:rsidR="00282C73">
        <w:rPr>
          <w:rFonts w:ascii="Tahoma" w:eastAsiaTheme="minorEastAsia" w:hAnsi="Tahoma" w:cs="Tahoma"/>
          <w:sz w:val="24"/>
          <w:szCs w:val="24"/>
          <w:lang w:val="sr-Latn-ME" w:eastAsia="sr-Latn-ME"/>
        </w:rPr>
        <w:t>2-114423</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0E5D83">
        <w:rPr>
          <w:rFonts w:ascii="Tahoma" w:eastAsiaTheme="minorEastAsia" w:hAnsi="Tahoma" w:cs="Tahoma"/>
          <w:sz w:val="24"/>
          <w:szCs w:val="24"/>
          <w:lang w:val="sr-Latn-ME" w:eastAsia="sr-Latn-ME"/>
        </w:rPr>
        <w:t>08</w:t>
      </w:r>
      <w:r w:rsidR="00301208">
        <w:rPr>
          <w:rFonts w:ascii="Tahoma" w:eastAsiaTheme="minorEastAsia" w:hAnsi="Tahoma" w:cs="Tahoma"/>
          <w:sz w:val="24"/>
          <w:szCs w:val="24"/>
          <w:lang w:val="sr-Latn-ME" w:eastAsia="sr-Latn-ME"/>
        </w:rPr>
        <w:t>.</w:t>
      </w:r>
      <w:r w:rsidR="000E5D83">
        <w:rPr>
          <w:rFonts w:ascii="Tahoma" w:eastAsiaTheme="minorEastAsia" w:hAnsi="Tahoma" w:cs="Tahoma"/>
          <w:sz w:val="24"/>
          <w:szCs w:val="24"/>
          <w:lang w:val="sr-Latn-ME" w:eastAsia="sr-Latn-ME"/>
        </w:rPr>
        <w:t>11</w:t>
      </w:r>
      <w:r w:rsidR="00B36B59">
        <w:rPr>
          <w:rFonts w:ascii="Tahoma" w:eastAsiaTheme="minorEastAsia" w:hAnsi="Tahoma" w:cs="Tahoma"/>
          <w:sz w:val="24"/>
          <w:szCs w:val="24"/>
          <w:lang w:val="sr-Latn-ME" w:eastAsia="sr-Latn-ME"/>
        </w:rPr>
        <w:t>.201</w:t>
      </w:r>
      <w:r w:rsidR="000E5D83">
        <w:rPr>
          <w:rFonts w:ascii="Tahoma" w:eastAsiaTheme="minorEastAsia" w:hAnsi="Tahoma" w:cs="Tahoma"/>
          <w:sz w:val="24"/>
          <w:szCs w:val="24"/>
          <w:lang w:val="sr-Latn-ME" w:eastAsia="sr-Latn-ME"/>
        </w:rPr>
        <w:t>7</w:t>
      </w:r>
      <w:r w:rsidRPr="0007774D">
        <w:rPr>
          <w:rFonts w:ascii="Tahoma" w:eastAsiaTheme="minorEastAsia" w:hAnsi="Tahoma" w:cs="Tahoma"/>
          <w:sz w:val="24"/>
          <w:szCs w:val="24"/>
          <w:lang w:val="sr-Latn-ME" w:eastAsia="sr-Latn-ME"/>
        </w:rPr>
        <w:t>. 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B36B59">
        <w:rPr>
          <w:rFonts w:ascii="Tahoma" w:eastAsiaTheme="minorEastAsia" w:hAnsi="Tahoma" w:cs="Tahoma"/>
          <w:sz w:val="24"/>
          <w:szCs w:val="24"/>
          <w:lang w:val="sr-Latn-ME" w:eastAsia="sr-Latn-ME"/>
        </w:rPr>
        <w:t>rješenja</w:t>
      </w:r>
      <w:r w:rsidRPr="0007774D">
        <w:rPr>
          <w:rFonts w:ascii="Tahoma" w:eastAsiaTheme="minorEastAsia" w:hAnsi="Tahoma" w:cs="Tahoma"/>
          <w:sz w:val="24"/>
          <w:szCs w:val="24"/>
          <w:lang w:val="sr-Latn-ME" w:eastAsia="sr-Latn-ME"/>
        </w:rPr>
        <w:t xml:space="preserve"> </w:t>
      </w:r>
      <w:r w:rsidR="00EC3E82">
        <w:rPr>
          <w:rFonts w:ascii="Tahoma" w:eastAsiaTheme="minorEastAsia" w:hAnsi="Tahoma" w:cs="Tahoma"/>
          <w:sz w:val="24"/>
          <w:szCs w:val="24"/>
          <w:lang w:val="sr-Latn-ME" w:eastAsia="sr-Latn-ME"/>
        </w:rPr>
        <w:t xml:space="preserve">Uprave za </w:t>
      </w:r>
      <w:r w:rsidR="00301208">
        <w:rPr>
          <w:rFonts w:ascii="Tahoma" w:eastAsiaTheme="minorEastAsia" w:hAnsi="Tahoma" w:cs="Tahoma"/>
          <w:sz w:val="24"/>
          <w:szCs w:val="24"/>
          <w:lang w:val="sr-Latn-ME" w:eastAsia="sr-Latn-ME"/>
        </w:rPr>
        <w:t>nekretnine</w:t>
      </w:r>
      <w:r w:rsidR="000E5D83">
        <w:rPr>
          <w:rFonts w:ascii="Tahoma" w:eastAsiaTheme="minorEastAsia" w:hAnsi="Tahoma" w:cs="Tahoma"/>
          <w:sz w:val="24"/>
          <w:szCs w:val="24"/>
          <w:lang w:val="sr-Latn-ME" w:eastAsia="sr-Latn-ME"/>
        </w:rPr>
        <w:t xml:space="preserve"> PJ Bijelo Polje</w:t>
      </w:r>
      <w:r w:rsidRPr="0007774D">
        <w:rPr>
          <w:rFonts w:ascii="Tahoma" w:eastAsiaTheme="minorEastAsia" w:hAnsi="Tahoma" w:cs="Tahoma"/>
          <w:sz w:val="24"/>
          <w:szCs w:val="24"/>
          <w:lang w:val="sr-Latn-ME" w:eastAsia="sr-Latn-ME"/>
        </w:rPr>
        <w:t xml:space="preserve"> br. </w:t>
      </w:r>
      <w:r w:rsidR="000E5D83" w:rsidRPr="000E5D83">
        <w:rPr>
          <w:rFonts w:ascii="Tahoma" w:eastAsiaTheme="minorEastAsia" w:hAnsi="Tahoma" w:cs="Tahoma"/>
          <w:sz w:val="24"/>
          <w:szCs w:val="24"/>
          <w:lang w:val="sr-Latn-ME" w:eastAsia="sr-Latn-ME"/>
        </w:rPr>
        <w:t>467-105-4</w:t>
      </w:r>
      <w:r w:rsidR="00282C73">
        <w:rPr>
          <w:rFonts w:ascii="Tahoma" w:eastAsiaTheme="minorEastAsia" w:hAnsi="Tahoma" w:cs="Tahoma"/>
          <w:sz w:val="24"/>
          <w:szCs w:val="24"/>
          <w:lang w:val="sr-Latn-ME" w:eastAsia="sr-Latn-ME"/>
        </w:rPr>
        <w:t>8</w:t>
      </w:r>
      <w:r w:rsidR="000E5D83" w:rsidRPr="000E5D83">
        <w:rPr>
          <w:rFonts w:ascii="Tahoma" w:eastAsiaTheme="minorEastAsia" w:hAnsi="Tahoma" w:cs="Tahoma"/>
          <w:sz w:val="24"/>
          <w:szCs w:val="24"/>
          <w:lang w:val="sr-Latn-ME" w:eastAsia="sr-Latn-ME"/>
        </w:rPr>
        <w:t>/1-2017 od 23. oktobra 2017. godine</w:t>
      </w:r>
      <w:r w:rsidRPr="0007774D">
        <w:rPr>
          <w:rFonts w:ascii="Tahoma" w:eastAsiaTheme="minorEastAsia" w:hAnsi="Tahoma" w:cs="Tahoma"/>
          <w:sz w:val="24"/>
          <w:szCs w:val="24"/>
          <w:lang w:val="sr-Latn-ME" w:eastAsia="sr-Latn-ME"/>
        </w:rPr>
        <w:t>,</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24.04.2015,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0E5D83">
        <w:rPr>
          <w:rFonts w:ascii="Tahoma" w:eastAsiaTheme="minorEastAsia" w:hAnsi="Tahoma" w:cs="Tahoma"/>
          <w:sz w:val="24"/>
          <w:szCs w:val="24"/>
          <w:lang w:val="sr-Latn-ME" w:eastAsia="sr-Latn-ME"/>
        </w:rPr>
        <w:t>06</w:t>
      </w:r>
      <w:r w:rsidRPr="0007774D">
        <w:rPr>
          <w:rFonts w:ascii="Tahoma" w:eastAsiaTheme="minorEastAsia" w:hAnsi="Tahoma" w:cs="Tahoma"/>
          <w:sz w:val="24"/>
          <w:szCs w:val="24"/>
          <w:lang w:val="sr-Latn-ME" w:eastAsia="sr-Latn-ME"/>
        </w:rPr>
        <w:t>.</w:t>
      </w:r>
      <w:r w:rsidR="000E5D83">
        <w:rPr>
          <w:rFonts w:ascii="Tahoma" w:eastAsiaTheme="minorEastAsia" w:hAnsi="Tahoma" w:cs="Tahoma"/>
          <w:sz w:val="24"/>
          <w:szCs w:val="24"/>
          <w:lang w:val="sr-Latn-ME" w:eastAsia="sr-Latn-ME"/>
        </w:rPr>
        <w:t>12</w:t>
      </w:r>
      <w:r w:rsidRPr="0007774D">
        <w:rPr>
          <w:rFonts w:ascii="Tahoma" w:eastAsiaTheme="minorEastAsia" w:hAnsi="Tahoma" w:cs="Tahoma"/>
          <w:sz w:val="24"/>
          <w:szCs w:val="24"/>
          <w:lang w:val="sr-Latn-ME" w:eastAsia="sr-Latn-ME"/>
        </w:rPr>
        <w:t>.201</w:t>
      </w:r>
      <w:r w:rsidR="000E5D83">
        <w:rPr>
          <w:rFonts w:ascii="Tahoma" w:eastAsiaTheme="minorEastAsia" w:hAnsi="Tahoma" w:cs="Tahoma"/>
          <w:sz w:val="24"/>
          <w:szCs w:val="24"/>
          <w:lang w:val="sr-Latn-ME" w:eastAsia="sr-Latn-ME"/>
        </w:rPr>
        <w:t>7</w:t>
      </w:r>
      <w:r w:rsidRPr="0007774D">
        <w:rPr>
          <w:rFonts w:ascii="Tahoma" w:eastAsiaTheme="minorEastAsia" w:hAnsi="Tahoma" w:cs="Tahoma"/>
          <w:sz w:val="24"/>
          <w:szCs w:val="24"/>
          <w:lang w:val="sr-Latn-ME" w:eastAsia="sr-Latn-ME"/>
        </w:rPr>
        <w:t>. 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0E5D83"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A15C1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E5D83">
        <w:rPr>
          <w:rFonts w:ascii="Tahoma" w:eastAsiaTheme="minorEastAsia" w:hAnsi="Tahoma" w:cs="Tahoma"/>
          <w:sz w:val="24"/>
          <w:szCs w:val="24"/>
          <w:lang w:val="sr-Latn-ME" w:eastAsia="sr-Latn-ME"/>
        </w:rPr>
        <w:t>Uprave za nekretnine PJ Bijelo Polje</w:t>
      </w:r>
      <w:r w:rsidR="000E5D83" w:rsidRPr="0007774D">
        <w:rPr>
          <w:rFonts w:ascii="Tahoma" w:eastAsiaTheme="minorEastAsia" w:hAnsi="Tahoma" w:cs="Tahoma"/>
          <w:sz w:val="24"/>
          <w:szCs w:val="24"/>
          <w:lang w:val="sr-Latn-ME" w:eastAsia="sr-Latn-ME"/>
        </w:rPr>
        <w:t xml:space="preserve"> br. </w:t>
      </w:r>
      <w:r w:rsidR="000E5D83" w:rsidRPr="000E5D83">
        <w:rPr>
          <w:rFonts w:ascii="Tahoma" w:eastAsiaTheme="minorEastAsia" w:hAnsi="Tahoma" w:cs="Tahoma"/>
          <w:sz w:val="24"/>
          <w:szCs w:val="24"/>
          <w:lang w:val="sr-Latn-ME" w:eastAsia="sr-Latn-ME"/>
        </w:rPr>
        <w:t>467-105-4</w:t>
      </w:r>
      <w:r w:rsidR="00282C73">
        <w:rPr>
          <w:rFonts w:ascii="Tahoma" w:eastAsiaTheme="minorEastAsia" w:hAnsi="Tahoma" w:cs="Tahoma"/>
          <w:sz w:val="24"/>
          <w:szCs w:val="24"/>
          <w:lang w:val="sr-Latn-ME" w:eastAsia="sr-Latn-ME"/>
        </w:rPr>
        <w:t>8</w:t>
      </w:r>
      <w:r w:rsidR="000E5D83" w:rsidRPr="000E5D83">
        <w:rPr>
          <w:rFonts w:ascii="Tahoma" w:eastAsiaTheme="minorEastAsia" w:hAnsi="Tahoma" w:cs="Tahoma"/>
          <w:sz w:val="24"/>
          <w:szCs w:val="24"/>
          <w:lang w:val="sr-Latn-ME" w:eastAsia="sr-Latn-ME"/>
        </w:rPr>
        <w:t>/1-2017 od 23. oktobra 2017. godine</w:t>
      </w:r>
      <w:r w:rsidR="000E5D83">
        <w:rPr>
          <w:rFonts w:ascii="Tahoma" w:eastAsiaTheme="minorEastAsia" w:hAnsi="Tahoma" w:cs="Tahoma"/>
          <w:sz w:val="24"/>
          <w:szCs w:val="24"/>
          <w:lang w:val="sr-Latn-ME" w:eastAsia="sr-Latn-ME"/>
        </w:rPr>
        <w:t>.</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0E5D83" w:rsidRPr="006B13BD" w:rsidRDefault="00436E4E" w:rsidP="006B13BD">
      <w:pPr>
        <w:pStyle w:val="Bodytext80"/>
        <w:shd w:val="clear" w:color="auto" w:fill="auto"/>
        <w:spacing w:after="0" w:line="276" w:lineRule="auto"/>
        <w:ind w:firstLine="660"/>
        <w:jc w:val="both"/>
        <w:rPr>
          <w:rFonts w:ascii="Tahoma" w:hAnsi="Tahoma" w:cs="Tahoma"/>
          <w:sz w:val="24"/>
          <w:szCs w:val="24"/>
        </w:rPr>
      </w:pPr>
      <w:r w:rsidRPr="006B13BD">
        <w:rPr>
          <w:rFonts w:ascii="Tahoma" w:eastAsiaTheme="minorEastAsia" w:hAnsi="Tahoma" w:cs="Tahoma"/>
          <w:sz w:val="24"/>
          <w:szCs w:val="24"/>
          <w:lang w:val="sr-Latn-ME" w:eastAsia="sr-Latn-ME"/>
        </w:rPr>
        <w:t>Prvostepeni organ je</w:t>
      </w:r>
      <w:r w:rsidR="000F3812" w:rsidRPr="006B13BD">
        <w:rPr>
          <w:rFonts w:ascii="Tahoma" w:eastAsiaTheme="minorEastAsia" w:hAnsi="Tahoma" w:cs="Tahoma"/>
          <w:sz w:val="24"/>
          <w:szCs w:val="24"/>
          <w:lang w:val="sr-Latn-ME" w:eastAsia="sr-Latn-ME"/>
        </w:rPr>
        <w:t>,</w:t>
      </w:r>
      <w:r w:rsidRPr="006B13BD">
        <w:rPr>
          <w:rFonts w:ascii="Tahoma" w:eastAsiaTheme="minorEastAsia" w:hAnsi="Tahoma" w:cs="Tahoma"/>
          <w:sz w:val="24"/>
          <w:szCs w:val="24"/>
          <w:lang w:val="sr-Latn-ME" w:eastAsia="sr-Latn-ME"/>
        </w:rPr>
        <w:t xml:space="preserve"> postupajući po zahtjevu </w:t>
      </w:r>
      <w:r w:rsidR="00DF4573" w:rsidRPr="006B13BD">
        <w:rPr>
          <w:rFonts w:ascii="Tahoma" w:eastAsiaTheme="minorEastAsia" w:hAnsi="Tahoma" w:cs="Tahoma"/>
          <w:sz w:val="24"/>
          <w:szCs w:val="24"/>
          <w:lang w:val="sr-Latn-ME" w:eastAsia="sr-Latn-ME"/>
        </w:rPr>
        <w:t xml:space="preserve">NVO Mans br. </w:t>
      </w:r>
      <w:r w:rsidR="00282C73" w:rsidRPr="006B13BD">
        <w:rPr>
          <w:rFonts w:ascii="Tahoma" w:eastAsiaTheme="minorEastAsia" w:hAnsi="Tahoma" w:cs="Tahoma"/>
          <w:sz w:val="24"/>
          <w:szCs w:val="24"/>
          <w:lang w:val="sr-Latn-ME" w:eastAsia="sr-Latn-ME"/>
        </w:rPr>
        <w:t xml:space="preserve">17/114422-114423 </w:t>
      </w:r>
      <w:r w:rsidR="0060163D" w:rsidRPr="006B13BD">
        <w:rPr>
          <w:rFonts w:ascii="Tahoma" w:eastAsiaTheme="minorEastAsia" w:hAnsi="Tahoma" w:cs="Tahoma"/>
          <w:sz w:val="24"/>
          <w:szCs w:val="24"/>
          <w:lang w:val="sr-Latn-ME" w:eastAsia="sr-Latn-ME"/>
        </w:rPr>
        <w:t>od</w:t>
      </w:r>
      <w:r w:rsidRPr="006B13BD">
        <w:rPr>
          <w:rFonts w:ascii="Tahoma" w:eastAsiaTheme="minorEastAsia" w:hAnsi="Tahoma" w:cs="Tahoma"/>
          <w:sz w:val="24"/>
          <w:szCs w:val="24"/>
          <w:lang w:val="sr-Latn-ME" w:eastAsia="sr-Latn-ME"/>
        </w:rPr>
        <w:t xml:space="preserve"> </w:t>
      </w:r>
      <w:r w:rsidR="00301208" w:rsidRPr="006B13BD">
        <w:rPr>
          <w:rFonts w:ascii="Tahoma" w:eastAsiaTheme="minorEastAsia" w:hAnsi="Tahoma" w:cs="Tahoma"/>
          <w:sz w:val="24"/>
          <w:szCs w:val="24"/>
          <w:lang w:val="sr-Latn-ME" w:eastAsia="sr-Latn-ME"/>
        </w:rPr>
        <w:t>0</w:t>
      </w:r>
      <w:r w:rsidR="000E5D83" w:rsidRPr="006B13BD">
        <w:rPr>
          <w:rFonts w:ascii="Tahoma" w:eastAsiaTheme="minorEastAsia" w:hAnsi="Tahoma" w:cs="Tahoma"/>
          <w:sz w:val="24"/>
          <w:szCs w:val="24"/>
          <w:lang w:val="sr-Latn-ME" w:eastAsia="sr-Latn-ME"/>
        </w:rPr>
        <w:t>4</w:t>
      </w:r>
      <w:r w:rsidR="00301208" w:rsidRPr="006B13BD">
        <w:rPr>
          <w:rFonts w:ascii="Tahoma" w:eastAsiaTheme="minorEastAsia" w:hAnsi="Tahoma" w:cs="Tahoma"/>
          <w:sz w:val="24"/>
          <w:szCs w:val="24"/>
          <w:lang w:val="sr-Latn-ME" w:eastAsia="sr-Latn-ME"/>
        </w:rPr>
        <w:t>.</w:t>
      </w:r>
      <w:r w:rsidR="000E5D83" w:rsidRPr="006B13BD">
        <w:rPr>
          <w:rFonts w:ascii="Tahoma" w:eastAsiaTheme="minorEastAsia" w:hAnsi="Tahoma" w:cs="Tahoma"/>
          <w:sz w:val="24"/>
          <w:szCs w:val="24"/>
          <w:lang w:val="sr-Latn-ME" w:eastAsia="sr-Latn-ME"/>
        </w:rPr>
        <w:t>10</w:t>
      </w:r>
      <w:r w:rsidR="00EC3E82" w:rsidRPr="006B13BD">
        <w:rPr>
          <w:rFonts w:ascii="Tahoma" w:eastAsiaTheme="minorEastAsia" w:hAnsi="Tahoma" w:cs="Tahoma"/>
          <w:sz w:val="24"/>
          <w:szCs w:val="24"/>
          <w:lang w:val="sr-Latn-ME" w:eastAsia="sr-Latn-ME"/>
        </w:rPr>
        <w:t>.201</w:t>
      </w:r>
      <w:r w:rsidR="000E5D83" w:rsidRPr="006B13BD">
        <w:rPr>
          <w:rFonts w:ascii="Tahoma" w:eastAsiaTheme="minorEastAsia" w:hAnsi="Tahoma" w:cs="Tahoma"/>
          <w:sz w:val="24"/>
          <w:szCs w:val="24"/>
          <w:lang w:val="sr-Latn-ME" w:eastAsia="sr-Latn-ME"/>
        </w:rPr>
        <w:t>7</w:t>
      </w:r>
      <w:r w:rsidRPr="006B13BD">
        <w:rPr>
          <w:rFonts w:ascii="Tahoma" w:eastAsiaTheme="minorEastAsia" w:hAnsi="Tahoma" w:cs="Tahoma"/>
          <w:sz w:val="24"/>
          <w:szCs w:val="24"/>
          <w:lang w:val="sr-Latn-ME" w:eastAsia="sr-Latn-ME"/>
        </w:rPr>
        <w:t>. godine</w:t>
      </w:r>
      <w:r w:rsidR="000F3812" w:rsidRPr="006B13BD">
        <w:rPr>
          <w:rFonts w:ascii="Tahoma" w:eastAsiaTheme="minorEastAsia" w:hAnsi="Tahoma" w:cs="Tahoma"/>
          <w:sz w:val="24"/>
          <w:szCs w:val="24"/>
          <w:lang w:val="sr-Latn-ME" w:eastAsia="sr-Latn-ME"/>
        </w:rPr>
        <w:t>,</w:t>
      </w:r>
      <w:r w:rsidRPr="006B13BD">
        <w:rPr>
          <w:rFonts w:ascii="Tahoma" w:eastAsiaTheme="minorEastAsia" w:hAnsi="Tahoma" w:cs="Tahoma"/>
          <w:sz w:val="24"/>
          <w:szCs w:val="24"/>
          <w:lang w:val="sr-Latn-ME" w:eastAsia="sr-Latn-ME"/>
        </w:rPr>
        <w:t xml:space="preserve"> donio rješenje br. </w:t>
      </w:r>
      <w:r w:rsidR="000E5D83" w:rsidRPr="006B13BD">
        <w:rPr>
          <w:rFonts w:ascii="Tahoma" w:eastAsiaTheme="minorEastAsia" w:hAnsi="Tahoma" w:cs="Tahoma"/>
          <w:sz w:val="24"/>
          <w:szCs w:val="24"/>
          <w:lang w:val="sr-Latn-ME" w:eastAsia="sr-Latn-ME"/>
        </w:rPr>
        <w:t>467-105-4</w:t>
      </w:r>
      <w:r w:rsidR="00282C73" w:rsidRPr="006B13BD">
        <w:rPr>
          <w:rFonts w:ascii="Tahoma" w:eastAsiaTheme="minorEastAsia" w:hAnsi="Tahoma" w:cs="Tahoma"/>
          <w:sz w:val="24"/>
          <w:szCs w:val="24"/>
          <w:lang w:val="sr-Latn-ME" w:eastAsia="sr-Latn-ME"/>
        </w:rPr>
        <w:t>8</w:t>
      </w:r>
      <w:r w:rsidR="000E5D83" w:rsidRPr="006B13BD">
        <w:rPr>
          <w:rFonts w:ascii="Tahoma" w:eastAsiaTheme="minorEastAsia" w:hAnsi="Tahoma" w:cs="Tahoma"/>
          <w:sz w:val="24"/>
          <w:szCs w:val="24"/>
          <w:lang w:val="sr-Latn-ME" w:eastAsia="sr-Latn-ME"/>
        </w:rPr>
        <w:t xml:space="preserve">/1-2017 od 23. oktobra 2017. godine </w:t>
      </w:r>
      <w:r w:rsidRPr="006B13BD">
        <w:rPr>
          <w:rFonts w:ascii="Tahoma" w:eastAsiaTheme="minorEastAsia" w:hAnsi="Tahoma" w:cs="Tahoma"/>
          <w:sz w:val="24"/>
          <w:szCs w:val="24"/>
          <w:lang w:val="sr-Latn-ME" w:eastAsia="sr-Latn-ME"/>
        </w:rPr>
        <w:t>kojim je odlučeno na način:</w:t>
      </w:r>
      <w:r w:rsidR="00B0431D" w:rsidRPr="006B13BD">
        <w:rPr>
          <w:rFonts w:ascii="Tahoma" w:eastAsiaTheme="minorEastAsia" w:hAnsi="Tahoma" w:cs="Tahoma"/>
          <w:sz w:val="24"/>
          <w:szCs w:val="24"/>
          <w:lang w:val="sr-Latn-ME" w:eastAsia="sr-Latn-ME"/>
        </w:rPr>
        <w:t xml:space="preserve"> </w:t>
      </w:r>
      <w:r w:rsidR="00D7455B" w:rsidRPr="006B13BD">
        <w:rPr>
          <w:rFonts w:ascii="Tahoma" w:hAnsi="Tahoma" w:cs="Tahoma"/>
          <w:sz w:val="24"/>
          <w:szCs w:val="24"/>
          <w:lang w:val="sr-Latn-ME"/>
        </w:rPr>
        <w:t>„</w:t>
      </w:r>
      <w:r w:rsidR="00282C73" w:rsidRPr="00860632">
        <w:rPr>
          <w:rStyle w:val="Bodytext8Bold"/>
          <w:rFonts w:ascii="Tahoma" w:hAnsi="Tahoma" w:cs="Tahoma"/>
          <w:b w:val="0"/>
          <w:sz w:val="24"/>
          <w:szCs w:val="24"/>
        </w:rPr>
        <w:t>USVAJA SE</w:t>
      </w:r>
      <w:r w:rsidR="00282C73" w:rsidRPr="006B13BD">
        <w:rPr>
          <w:rStyle w:val="Bodytext8Bold"/>
          <w:rFonts w:ascii="Tahoma" w:hAnsi="Tahoma" w:cs="Tahoma"/>
          <w:sz w:val="24"/>
          <w:szCs w:val="24"/>
        </w:rPr>
        <w:t xml:space="preserve"> </w:t>
      </w:r>
      <w:r w:rsidR="00282C73" w:rsidRPr="006B13BD">
        <w:rPr>
          <w:rFonts w:ascii="Tahoma" w:hAnsi="Tahoma" w:cs="Tahoma"/>
          <w:color w:val="000000"/>
          <w:sz w:val="24"/>
          <w:szCs w:val="24"/>
          <w:lang w:val="hr-HR"/>
        </w:rPr>
        <w:t>zahtjev MANS-a od 04.10.2017.godine i dozvoljava pristup informacijama u posjedu Uprave za nekretnine, Područne jedinice B.Polje, fotokopiranjem- prepisivanjem informacija i to: Zahtjev za upis hipoteke prema Upravi za nekretnine PJ B.Polje od 23.12.2016. godine,</w:t>
      </w:r>
      <w:r w:rsidR="00282C73" w:rsidRPr="006B13BD">
        <w:rPr>
          <w:rFonts w:ascii="Tahoma" w:hAnsi="Tahoma" w:cs="Tahoma"/>
          <w:sz w:val="24"/>
          <w:szCs w:val="24"/>
        </w:rPr>
        <w:t xml:space="preserve"> </w:t>
      </w:r>
      <w:r w:rsidR="00282C73" w:rsidRPr="006B13BD">
        <w:rPr>
          <w:rFonts w:ascii="Tahoma" w:hAnsi="Tahoma" w:cs="Tahoma"/>
          <w:color w:val="000000"/>
          <w:sz w:val="24"/>
          <w:szCs w:val="24"/>
          <w:lang w:val="hr-HR"/>
        </w:rPr>
        <w:t>Rješenje Uprave za nekretnine PJ B.Polje br.1621/1-2016 od 26.12.2016. godine sa povratnicama, List nepokretnosti br.4141 KO B.Polje.</w:t>
      </w:r>
      <w:r w:rsidR="00282C73" w:rsidRPr="006B13BD">
        <w:rPr>
          <w:rFonts w:ascii="Tahoma" w:hAnsi="Tahoma" w:cs="Tahoma"/>
          <w:sz w:val="24"/>
          <w:szCs w:val="24"/>
        </w:rPr>
        <w:t xml:space="preserve"> </w:t>
      </w:r>
      <w:r w:rsidR="00282C73" w:rsidRPr="006B13BD">
        <w:rPr>
          <w:rFonts w:ascii="Tahoma" w:hAnsi="Tahoma" w:cs="Tahoma"/>
          <w:color w:val="000000"/>
          <w:sz w:val="24"/>
          <w:szCs w:val="24"/>
          <w:lang w:val="hr-HR"/>
        </w:rPr>
        <w:t>Pristup traženim informacijama podnosilac zahtjeva može ostvariti u roku od 3 dana po dostavi dokaza ovom organu da je izvršio uplatu troškova postupka po ovom rješenju.</w:t>
      </w:r>
      <w:r w:rsidR="00282C73" w:rsidRPr="006B13BD">
        <w:rPr>
          <w:rFonts w:ascii="Tahoma" w:hAnsi="Tahoma" w:cs="Tahoma"/>
          <w:sz w:val="24"/>
          <w:szCs w:val="24"/>
        </w:rPr>
        <w:t xml:space="preserve"> </w:t>
      </w:r>
      <w:r w:rsidR="00282C73" w:rsidRPr="006B13BD">
        <w:rPr>
          <w:rFonts w:ascii="Tahoma" w:hAnsi="Tahoma" w:cs="Tahoma"/>
          <w:color w:val="000000"/>
          <w:sz w:val="24"/>
          <w:szCs w:val="24"/>
          <w:lang w:val="hr-HR"/>
        </w:rPr>
        <w:t>Troškove postupka u iznosu od 1,80 € snosi podnosilac zahtjeva, iste je dužan uplatiti u roku od 3 dana po prijemu ovog rješenja uplatom na žiro-račun Uprave za nekretnine br.832-1081-58 i primjerkom priznanice o uplati obavijestiti ovaj organ.</w:t>
      </w:r>
      <w:r w:rsidR="00282C73" w:rsidRPr="006B13BD">
        <w:rPr>
          <w:rFonts w:ascii="Tahoma" w:hAnsi="Tahoma" w:cs="Tahoma"/>
          <w:sz w:val="24"/>
          <w:szCs w:val="24"/>
        </w:rPr>
        <w:t xml:space="preserve"> </w:t>
      </w:r>
      <w:r w:rsidR="00282C73" w:rsidRPr="006B13BD">
        <w:rPr>
          <w:rFonts w:ascii="Tahoma" w:hAnsi="Tahoma" w:cs="Tahoma"/>
          <w:color w:val="000000"/>
          <w:sz w:val="24"/>
          <w:szCs w:val="24"/>
          <w:lang w:val="hr-HR"/>
        </w:rPr>
        <w:t xml:space="preserve">Spisi i radnje po ovom rješenju oslobodjeni su plaćanja administrativne takse </w:t>
      </w:r>
      <w:r w:rsidR="00282C73" w:rsidRPr="006B13BD">
        <w:rPr>
          <w:rFonts w:ascii="Tahoma" w:hAnsi="Tahoma" w:cs="Tahoma"/>
          <w:color w:val="000000"/>
          <w:sz w:val="24"/>
          <w:szCs w:val="24"/>
          <w:lang w:val="hr-HR"/>
        </w:rPr>
        <w:lastRenderedPageBreak/>
        <w:t>shodno čl.33 st. 1 Zakona o slobodnom pristupu informacijama /SI.list RCG, br.44/12/.Žalba protiv ovog rješenja ne odlaže njegovo izvršenje.</w:t>
      </w:r>
      <w:r w:rsidR="000E5D83" w:rsidRPr="006B13BD">
        <w:rPr>
          <w:rFonts w:ascii="Tahoma" w:hAnsi="Tahoma" w:cs="Tahoma"/>
          <w:sz w:val="24"/>
          <w:szCs w:val="24"/>
          <w:lang w:val="sr-Latn-ME"/>
        </w:rPr>
        <w:t>“</w:t>
      </w:r>
      <w:r w:rsidR="00C24597" w:rsidRPr="006B13BD">
        <w:rPr>
          <w:rFonts w:ascii="Tahoma" w:hAnsi="Tahoma" w:cs="Tahoma"/>
          <w:b/>
          <w:sz w:val="24"/>
          <w:szCs w:val="24"/>
          <w:lang w:val="sr-Latn-ME"/>
        </w:rPr>
        <w:t xml:space="preserve"> </w:t>
      </w:r>
      <w:r w:rsidR="00B0431D" w:rsidRPr="006B13BD">
        <w:rPr>
          <w:rFonts w:ascii="Tahoma" w:hAnsi="Tahoma" w:cs="Tahoma"/>
          <w:sz w:val="24"/>
          <w:szCs w:val="24"/>
          <w:lang w:val="sr-Latn-ME"/>
        </w:rPr>
        <w:t xml:space="preserve">U obrazloženju osporenog rješenja se navodi da se </w:t>
      </w:r>
      <w:r w:rsidR="00DF4573" w:rsidRPr="006B13BD">
        <w:rPr>
          <w:rFonts w:ascii="Tahoma" w:hAnsi="Tahoma" w:cs="Tahoma"/>
          <w:sz w:val="24"/>
          <w:szCs w:val="24"/>
          <w:lang w:val="sr-Latn-ME"/>
        </w:rPr>
        <w:t>NVO Mans</w:t>
      </w:r>
      <w:r w:rsidR="00B0431D" w:rsidRPr="006B13BD">
        <w:rPr>
          <w:rFonts w:ascii="Tahoma" w:hAnsi="Tahoma" w:cs="Tahoma"/>
          <w:sz w:val="24"/>
          <w:szCs w:val="24"/>
          <w:lang w:val="sr-Latn-ME"/>
        </w:rPr>
        <w:t xml:space="preserve"> obratila</w:t>
      </w:r>
      <w:r w:rsidR="00B0431D" w:rsidRPr="006B13BD">
        <w:rPr>
          <w:rFonts w:ascii="Tahoma" w:hAnsi="Tahoma" w:cs="Tahoma"/>
          <w:b/>
          <w:sz w:val="24"/>
          <w:szCs w:val="24"/>
          <w:lang w:val="sr-Latn-ME"/>
        </w:rPr>
        <w:t xml:space="preserve"> </w:t>
      </w:r>
      <w:r w:rsidR="00D7455B" w:rsidRPr="006B13BD">
        <w:rPr>
          <w:rFonts w:ascii="Tahoma" w:hAnsi="Tahoma" w:cs="Tahoma"/>
          <w:sz w:val="24"/>
          <w:szCs w:val="24"/>
          <w:lang w:val="sr-Latn-ME"/>
        </w:rPr>
        <w:t>zahtjevom</w:t>
      </w:r>
      <w:r w:rsidR="000E5D83" w:rsidRPr="006B13BD">
        <w:rPr>
          <w:rFonts w:ascii="Tahoma" w:hAnsi="Tahoma" w:cs="Tahoma"/>
          <w:sz w:val="24"/>
          <w:szCs w:val="24"/>
          <w:lang w:val="sr-Latn-ME"/>
        </w:rPr>
        <w:t xml:space="preserve"> br.</w:t>
      </w:r>
      <w:r w:rsidR="00282C73" w:rsidRPr="006B13BD">
        <w:rPr>
          <w:rFonts w:ascii="Tahoma" w:eastAsiaTheme="minorEastAsia" w:hAnsi="Tahoma" w:cs="Tahoma"/>
          <w:sz w:val="24"/>
          <w:szCs w:val="24"/>
          <w:lang w:val="sr-Latn-ME" w:eastAsia="sr-Latn-ME"/>
        </w:rPr>
        <w:t xml:space="preserve"> 17/114422-114423 od 04.10.2017. godine</w:t>
      </w:r>
      <w:r w:rsidR="000E5D83" w:rsidRPr="006B13BD">
        <w:rPr>
          <w:rFonts w:ascii="Tahoma" w:eastAsiaTheme="minorEastAsia" w:hAnsi="Tahoma" w:cs="Tahoma"/>
          <w:sz w:val="24"/>
          <w:szCs w:val="24"/>
          <w:lang w:val="sr-Latn-ME" w:eastAsia="sr-Latn-ME"/>
        </w:rPr>
        <w:t>,</w:t>
      </w:r>
      <w:r w:rsidR="00D7455B" w:rsidRPr="006B13BD">
        <w:rPr>
          <w:rFonts w:ascii="Tahoma" w:hAnsi="Tahoma" w:cs="Tahoma"/>
          <w:sz w:val="24"/>
          <w:szCs w:val="24"/>
          <w:lang w:val="sr-Latn-ME"/>
        </w:rPr>
        <w:t xml:space="preserve"> Upravi za nekretnine</w:t>
      </w:r>
      <w:r w:rsidR="000E5D83" w:rsidRPr="006B13BD">
        <w:rPr>
          <w:rFonts w:ascii="Tahoma" w:hAnsi="Tahoma" w:cs="Tahoma"/>
          <w:sz w:val="24"/>
          <w:szCs w:val="24"/>
          <w:lang w:val="sr-Latn-ME"/>
        </w:rPr>
        <w:t xml:space="preserve"> PJ Bijelo Polje</w:t>
      </w:r>
      <w:r w:rsidR="00D7455B" w:rsidRPr="006B13BD">
        <w:rPr>
          <w:rFonts w:ascii="Tahoma" w:hAnsi="Tahoma" w:cs="Tahoma"/>
          <w:sz w:val="24"/>
          <w:szCs w:val="24"/>
          <w:lang w:val="sr-Latn-ME"/>
        </w:rPr>
        <w:t xml:space="preserve">, kojim je </w:t>
      </w:r>
      <w:r w:rsidR="000E5D83" w:rsidRPr="006B13BD">
        <w:rPr>
          <w:rFonts w:ascii="Tahoma" w:hAnsi="Tahoma" w:cs="Tahoma"/>
          <w:sz w:val="24"/>
          <w:szCs w:val="24"/>
          <w:lang w:val="sr-Latn-ME"/>
        </w:rPr>
        <w:t>traženo da se dozvoli pristup informacijama bliže navedenim u dispozitivu</w:t>
      </w:r>
      <w:r w:rsidR="00D7455B" w:rsidRPr="006B13BD">
        <w:rPr>
          <w:rFonts w:ascii="Tahoma" w:hAnsi="Tahoma" w:cs="Tahoma"/>
          <w:sz w:val="24"/>
          <w:szCs w:val="24"/>
          <w:lang w:val="sr-Latn-ME"/>
        </w:rPr>
        <w:t xml:space="preserve">. </w:t>
      </w:r>
      <w:r w:rsidR="000E5D83" w:rsidRPr="006B13BD">
        <w:rPr>
          <w:rFonts w:ascii="Tahoma" w:hAnsi="Tahoma" w:cs="Tahoma"/>
          <w:sz w:val="24"/>
          <w:szCs w:val="24"/>
          <w:lang w:val="sr-Latn-ME"/>
        </w:rPr>
        <w:t xml:space="preserve">Navodi se da je postupajući po zahtjevu podnosioca, ovaj organ pokrenuo postupak za dozvolu pristupa traženim informacijama, u postupku pronašao i izvršio uvid u iste i utvrdio da ne postoje smetnje za pristup traženim informacijama, shodno čl. 14 Zakona o slobodnom pristupu informacijama, da je zahtjev podnosioca potpun u smislu čl. 19 Zakona o slobodnom pristupu informacijama, te je shodno utvrdjenom, a na osnovu čl.30,34 i 36 Zakona o slobodnom pristupu informacijama /“Sl.list RCG,br.44/12/ po zahtjevu podnosioca odlučeno je kao u dispozitivu ovog rješenja. Ukazuje se da je odluku o troškovima postupka ovaj organ zasnovao je na odredbama čl. 33 st.2 Zakona o slobodnom pristupu informacijama. </w:t>
      </w:r>
    </w:p>
    <w:p w:rsidR="00282C73" w:rsidRPr="006B13BD" w:rsidRDefault="00282C73" w:rsidP="006B13BD">
      <w:pPr>
        <w:spacing w:after="0"/>
        <w:jc w:val="both"/>
        <w:rPr>
          <w:rFonts w:ascii="Tahoma" w:eastAsiaTheme="minorEastAsia" w:hAnsi="Tahoma" w:cs="Tahoma"/>
          <w:sz w:val="24"/>
          <w:szCs w:val="24"/>
          <w:lang w:val="sr-Latn-ME" w:eastAsia="sr-Latn-ME"/>
        </w:rPr>
      </w:pPr>
    </w:p>
    <w:p w:rsidR="0060163D" w:rsidRPr="006B13BD" w:rsidRDefault="00436E4E" w:rsidP="006B13BD">
      <w:pPr>
        <w:spacing w:after="0"/>
        <w:jc w:val="both"/>
        <w:rPr>
          <w:rFonts w:ascii="Tahoma" w:hAnsi="Tahoma" w:cs="Tahoma"/>
          <w:sz w:val="24"/>
          <w:szCs w:val="24"/>
          <w:lang w:val="sr-Latn-ME"/>
        </w:rPr>
      </w:pPr>
      <w:r w:rsidRPr="006B13BD">
        <w:rPr>
          <w:rFonts w:ascii="Tahoma" w:eastAsiaTheme="minorEastAsia" w:hAnsi="Tahoma" w:cs="Tahoma"/>
          <w:sz w:val="24"/>
          <w:szCs w:val="24"/>
          <w:lang w:val="sr-Latn-ME" w:eastAsia="sr-Latn-ME"/>
        </w:rPr>
        <w:t xml:space="preserve">Protiv ovog rješenja u zakonskom roku podnosilac zahtjeva je uložio žalbu. U žalbi se u bitnom navodi da </w:t>
      </w:r>
      <w:r w:rsidR="00D7455B" w:rsidRPr="006B13BD">
        <w:rPr>
          <w:rFonts w:ascii="Tahoma" w:eastAsiaTheme="minorEastAsia" w:hAnsi="Tahoma" w:cs="Tahoma"/>
          <w:sz w:val="24"/>
          <w:szCs w:val="24"/>
          <w:lang w:val="sr-Latn-ME" w:eastAsia="sr-Latn-ME"/>
        </w:rPr>
        <w:t>se rješenje pobija zbog pogrešno i nepotpuno utvrđenog činjeničnog stanja</w:t>
      </w:r>
      <w:r w:rsidR="00D71019" w:rsidRPr="006B13BD">
        <w:rPr>
          <w:rFonts w:ascii="Tahoma" w:eastAsiaTheme="minorEastAsia" w:hAnsi="Tahoma" w:cs="Tahoma"/>
          <w:sz w:val="24"/>
          <w:szCs w:val="24"/>
          <w:lang w:val="sr-Latn-ME" w:eastAsia="sr-Latn-ME"/>
        </w:rPr>
        <w:t xml:space="preserve">. </w:t>
      </w:r>
      <w:r w:rsidR="00D71019" w:rsidRPr="006B13BD">
        <w:rPr>
          <w:rFonts w:ascii="Tahoma" w:hAnsi="Tahoma" w:cs="Tahoma"/>
          <w:sz w:val="24"/>
          <w:szCs w:val="24"/>
          <w:lang w:val="sr-Latn-ME"/>
        </w:rPr>
        <w:t>Navodi se da</w:t>
      </w:r>
      <w:r w:rsidR="00EA54C4" w:rsidRPr="006B13BD">
        <w:rPr>
          <w:rFonts w:ascii="Tahoma" w:hAnsi="Tahoma" w:cs="Tahoma"/>
          <w:sz w:val="24"/>
          <w:szCs w:val="24"/>
          <w:lang w:val="sr-Latn-ME"/>
        </w:rPr>
        <w:t xml:space="preserve"> je</w:t>
      </w:r>
      <w:r w:rsidR="00D71019" w:rsidRPr="006B13BD">
        <w:rPr>
          <w:rFonts w:ascii="Tahoma" w:hAnsi="Tahoma" w:cs="Tahoma"/>
          <w:sz w:val="24"/>
          <w:szCs w:val="24"/>
          <w:lang w:val="sr-Latn-ME"/>
        </w:rPr>
        <w:t xml:space="preserve"> </w:t>
      </w:r>
      <w:r w:rsidR="00EA54C4" w:rsidRPr="006B13BD">
        <w:rPr>
          <w:rFonts w:ascii="Tahoma" w:hAnsi="Tahoma" w:cs="Tahoma"/>
          <w:sz w:val="24"/>
          <w:szCs w:val="24"/>
          <w:lang w:val="sr-Latn-ME"/>
        </w:rPr>
        <w:t xml:space="preserve">predmet zahtjeva istorijat upisa na nepokretnosti bliže opisanim zahtjevima, sa svom dokumentacijom na osnovu koje su vršene promjene i ubilježeni tereti i hipoteke, dok je osporenim rješenjem dozvoljen pristup zahtjevu za upis hipoteke, rješenju uprave za nekretnine i listu nepokretnosti, te se na osnovu navedenog se nedvosmisleno utvrđuje da je prvostepeni organ ograničio pristup traženim podacima jer je predmetnim rješenjem dozvolio pristup informacijama koje nijesu predmet zahtjeva, iako su u vezi sa istim i nesporno čine dio traženih informacija iste nijesu dovoljne u konkrenom slučaju. Žalilac ističe da dispozitivom rješenja nije pravilno odlučeno o predmetu zahtjeva, pa je pravna sudbina istog ostala upitna, jer prvostepeni organ dozvoljava pristup dijelu informacija vezano za predmetne nepokretnosi, pa ostaje nejasno šta sa preostalim dokumentacijom koja čini ukupan istorijat upisa na navedenim nepokretnostima. Ukazuje se da prvostepeni organ odlučujući na način dat u dispozitivu rješenja nije dozvolio pristup pravnim poslovima na osnovu kojih je vršen prenos prava svojine u predmetnom slučaju, kao i rješenja kojima je upis vršen, već samo odlučuje u dijelu upisa tereta i rješenju vezanom za isto, dok istorijat prenosa vlasništva na predmetnoj nepokretnosti nije obuhvatio. Navodi se da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odredbe.Dalje se navodi da član 2 Konvencije Sekretarijata Evrope o pristupu zvaničnim </w:t>
      </w:r>
      <w:r w:rsidR="00EA54C4" w:rsidRPr="006B13BD">
        <w:rPr>
          <w:rFonts w:ascii="Tahoma" w:hAnsi="Tahoma" w:cs="Tahoma"/>
          <w:sz w:val="24"/>
          <w:szCs w:val="24"/>
          <w:lang w:val="sr-Latn-ME"/>
        </w:rPr>
        <w:lastRenderedPageBreak/>
        <w:t>dokumentima, ratifikovane od stane Crne Gore, navodi da zvanični dokumenti predstavljaju svaku informaciju, u bilo kojoj formi, bilo sačinjene il</w:t>
      </w:r>
      <w:r w:rsidR="00CF0E54">
        <w:rPr>
          <w:rFonts w:ascii="Tahoma" w:hAnsi="Tahoma" w:cs="Tahoma"/>
          <w:sz w:val="24"/>
          <w:szCs w:val="24"/>
          <w:lang w:val="sr-Latn-ME"/>
        </w:rPr>
        <w:t>i dostavljene organima vlasti.</w:t>
      </w:r>
      <w:r w:rsidR="00EA54C4" w:rsidRPr="006B13BD">
        <w:rPr>
          <w:rFonts w:ascii="Tahoma" w:hAnsi="Tahoma" w:cs="Tahoma"/>
          <w:sz w:val="24"/>
          <w:szCs w:val="24"/>
          <w:lang w:val="sr-Latn-ME"/>
        </w:rPr>
        <w:t>Navodi se da je prema mišljenju žalioca nesporno da prvostepeni organ posjeduje tražene informacije te da je isti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Navodi se da je pobijano rješenje nerazumljivo i nezakonito, čime je zahvaćeno bitnom povredom pravila postupka iz člana 22 stav 7 Zakona o upravnom postupku, jer nedostatak valjanog obrazloženja onemogućava uopšte utvrđivanje zakonitosti i pravilnosti istog.</w:t>
      </w:r>
      <w:r w:rsidR="00D71019" w:rsidRPr="006B13BD">
        <w:rPr>
          <w:rFonts w:ascii="Tahoma" w:hAnsi="Tahoma" w:cs="Tahoma"/>
          <w:sz w:val="24"/>
          <w:szCs w:val="24"/>
          <w:lang w:val="sr-Latn-ME"/>
        </w:rPr>
        <w:t xml:space="preserve">Predloženo je da Savjet Agencije za zaštitu ličnih podataka i slobodan pristup informacijama poništi rješenje </w:t>
      </w:r>
      <w:r w:rsidR="00EA54C4" w:rsidRPr="006B13BD">
        <w:rPr>
          <w:rFonts w:ascii="Tahoma" w:eastAsiaTheme="minorEastAsia" w:hAnsi="Tahoma" w:cs="Tahoma"/>
          <w:sz w:val="24"/>
          <w:szCs w:val="24"/>
          <w:lang w:val="sr-Latn-ME" w:eastAsia="sr-Latn-ME"/>
        </w:rPr>
        <w:t>Uprave za nekretnine PJ Bijelo Polje br. 467-105-4</w:t>
      </w:r>
      <w:r w:rsidR="00282C73" w:rsidRPr="006B13BD">
        <w:rPr>
          <w:rFonts w:ascii="Tahoma" w:eastAsiaTheme="minorEastAsia" w:hAnsi="Tahoma" w:cs="Tahoma"/>
          <w:sz w:val="24"/>
          <w:szCs w:val="24"/>
          <w:lang w:val="sr-Latn-ME" w:eastAsia="sr-Latn-ME"/>
        </w:rPr>
        <w:t>8</w:t>
      </w:r>
      <w:r w:rsidR="00EA54C4" w:rsidRPr="006B13BD">
        <w:rPr>
          <w:rFonts w:ascii="Tahoma" w:eastAsiaTheme="minorEastAsia" w:hAnsi="Tahoma" w:cs="Tahoma"/>
          <w:sz w:val="24"/>
          <w:szCs w:val="24"/>
          <w:lang w:val="sr-Latn-ME" w:eastAsia="sr-Latn-ME"/>
        </w:rPr>
        <w:t>/1-2017 od 23. oktobra 2017. godine</w:t>
      </w:r>
      <w:r w:rsidR="00D71019" w:rsidRPr="006B13BD">
        <w:rPr>
          <w:rFonts w:ascii="Tahoma" w:hAnsi="Tahoma" w:cs="Tahoma"/>
          <w:sz w:val="24"/>
          <w:szCs w:val="24"/>
          <w:lang w:val="sr-Latn-ME"/>
        </w:rPr>
        <w:t>, s obzirom na to da je donošenjem rješenja prvostepenog organa ograničeno zakonsko pravo na slobodan pristup informacijama</w:t>
      </w:r>
      <w:r w:rsidR="00403BD7" w:rsidRPr="006B13BD">
        <w:rPr>
          <w:rFonts w:ascii="Tahoma" w:eastAsiaTheme="minorEastAsia" w:hAnsi="Tahoma" w:cs="Tahoma"/>
          <w:sz w:val="24"/>
          <w:szCs w:val="24"/>
          <w:lang w:val="sr-Latn-ME" w:eastAsia="sr-Latn-ME"/>
        </w:rPr>
        <w:t xml:space="preserve"> i obaveže prvostpeni organ da žaliocu nadoknadi troškove postupka po AT.</w:t>
      </w:r>
    </w:p>
    <w:p w:rsidR="006B13BD" w:rsidRDefault="006B13BD" w:rsidP="006B13BD">
      <w:pPr>
        <w:spacing w:after="0"/>
        <w:jc w:val="both"/>
        <w:rPr>
          <w:rFonts w:ascii="Tahoma" w:eastAsiaTheme="minorEastAsia" w:hAnsi="Tahoma" w:cs="Tahoma"/>
          <w:sz w:val="24"/>
          <w:szCs w:val="24"/>
          <w:lang w:val="sr-Latn-ME" w:eastAsia="sr-Latn-ME"/>
        </w:rPr>
      </w:pPr>
    </w:p>
    <w:p w:rsidR="006E0D0E" w:rsidRDefault="006E0D0E" w:rsidP="006B13BD">
      <w:pPr>
        <w:spacing w:after="0"/>
        <w:jc w:val="both"/>
        <w:rPr>
          <w:rFonts w:ascii="Tahoma" w:eastAsiaTheme="minorEastAsia" w:hAnsi="Tahoma" w:cs="Tahoma"/>
          <w:sz w:val="24"/>
          <w:szCs w:val="24"/>
          <w:lang w:val="sr-Latn-ME" w:eastAsia="sr-Latn-ME"/>
        </w:rPr>
      </w:pPr>
      <w:r w:rsidRPr="006B13BD">
        <w:rPr>
          <w:rFonts w:ascii="Tahoma" w:eastAsiaTheme="minorEastAsia" w:hAnsi="Tahoma" w:cs="Tahoma"/>
          <w:sz w:val="24"/>
          <w:szCs w:val="24"/>
          <w:lang w:val="sr-Latn-ME" w:eastAsia="sr-Latn-ME"/>
        </w:rPr>
        <w:t>Nakon razmatranja spisa predmeta i žalbenih navoda Savjet Agencije nalazi da je žalba osnovana.</w:t>
      </w:r>
    </w:p>
    <w:p w:rsidR="00E27567" w:rsidRPr="006B13BD" w:rsidRDefault="00E27567" w:rsidP="006B13BD">
      <w:pPr>
        <w:spacing w:after="0"/>
        <w:jc w:val="both"/>
        <w:rPr>
          <w:rFonts w:ascii="Tahoma" w:eastAsiaTheme="minorEastAsia" w:hAnsi="Tahoma" w:cs="Tahoma"/>
          <w:sz w:val="24"/>
          <w:szCs w:val="24"/>
          <w:lang w:val="sr-Latn-ME" w:eastAsia="sr-Latn-ME"/>
        </w:rPr>
      </w:pPr>
    </w:p>
    <w:p w:rsidR="003D3413" w:rsidRDefault="006E0D0E" w:rsidP="00E504FA">
      <w:pPr>
        <w:spacing w:after="0"/>
        <w:jc w:val="both"/>
        <w:rPr>
          <w:rFonts w:ascii="Tahoma" w:eastAsiaTheme="minorEastAsia" w:hAnsi="Tahoma" w:cs="Tahoma"/>
          <w:sz w:val="24"/>
          <w:szCs w:val="24"/>
          <w:lang w:val="sr-Latn-ME"/>
        </w:rPr>
      </w:pPr>
      <w:r w:rsidRPr="006B13BD">
        <w:rPr>
          <w:rFonts w:ascii="Tahoma" w:eastAsiaTheme="minorEastAsia" w:hAnsi="Tahoma" w:cs="Tahoma"/>
          <w:sz w:val="24"/>
          <w:szCs w:val="24"/>
          <w:lang w:val="sr-Latn-ME"/>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DF27CF">
        <w:rPr>
          <w:rFonts w:ascii="Tahoma" w:eastAsiaTheme="minorEastAsia" w:hAnsi="Tahoma" w:cs="Tahoma"/>
          <w:sz w:val="24"/>
          <w:szCs w:val="24"/>
          <w:lang w:val="sr-Latn-ME"/>
        </w:rPr>
        <w:t>.</w:t>
      </w:r>
      <w:r w:rsidR="00E504FA" w:rsidRPr="00E504FA">
        <w:t xml:space="preserve"> </w:t>
      </w:r>
      <w:r w:rsidR="00E504FA" w:rsidRPr="00E504FA">
        <w:rPr>
          <w:rFonts w:ascii="Tahoma" w:eastAsiaTheme="minorEastAsia" w:hAnsi="Tahoma" w:cs="Tahoma"/>
          <w:sz w:val="24"/>
          <w:szCs w:val="24"/>
          <w:lang w:val="sr-Latn-ME"/>
        </w:rPr>
        <w:t>Članom 1 stav 2 tačka 1 Zakona o slobodnom pristupu informacijama</w:t>
      </w:r>
      <w:r w:rsidR="00E504FA">
        <w:rPr>
          <w:rFonts w:ascii="Tahoma" w:eastAsiaTheme="minorEastAsia" w:hAnsi="Tahoma" w:cs="Tahoma"/>
          <w:sz w:val="24"/>
          <w:szCs w:val="24"/>
          <w:lang w:val="sr-Latn-ME"/>
        </w:rPr>
        <w:t xml:space="preserve"> </w:t>
      </w:r>
      <w:r w:rsidR="00E504FA" w:rsidRPr="00E504FA">
        <w:rPr>
          <w:rFonts w:ascii="Tahoma" w:eastAsiaTheme="minorEastAsia" w:hAnsi="Tahoma" w:cs="Tahoma"/>
          <w:sz w:val="24"/>
          <w:szCs w:val="24"/>
          <w:lang w:val="sr-Latn-ME"/>
        </w:rPr>
        <w:t xml:space="preserve">(“Sl.list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w:t>
      </w:r>
      <w:r w:rsidR="00E504FA" w:rsidRPr="00E504FA">
        <w:rPr>
          <w:rFonts w:ascii="Tahoma" w:eastAsiaTheme="minorEastAsia" w:hAnsi="Tahoma" w:cs="Tahoma"/>
          <w:sz w:val="24"/>
          <w:szCs w:val="24"/>
          <w:lang w:val="sr-Latn-ME"/>
        </w:rPr>
        <w:lastRenderedPageBreak/>
        <w:t>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 Savjet Agencije je cijenio da je žalba osnovana, pa je ista 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w:t>
      </w:r>
    </w:p>
    <w:p w:rsidR="00E504FA" w:rsidRPr="00E504FA" w:rsidRDefault="00E504FA" w:rsidP="00E504FA">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 xml:space="preserve"> </w:t>
      </w:r>
    </w:p>
    <w:p w:rsidR="00E504FA" w:rsidRDefault="00E504FA" w:rsidP="00E504FA">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Budući da je poništen rješenje prvostepenog organa i predmet vraćen na ponovno odlučivanje  stoga  upravni postupak nije okončan tako da se nijesu stekli uslovi za naknadu troškova postupka shodno članu 94 Zakona o upravnom postupku.</w:t>
      </w:r>
    </w:p>
    <w:p w:rsidR="003D3413" w:rsidRPr="00E504FA" w:rsidRDefault="003D3413" w:rsidP="00E504FA">
      <w:pPr>
        <w:spacing w:after="0"/>
        <w:jc w:val="both"/>
        <w:rPr>
          <w:rFonts w:ascii="Tahoma" w:eastAsiaTheme="minorEastAsia" w:hAnsi="Tahoma" w:cs="Tahoma"/>
          <w:sz w:val="24"/>
          <w:szCs w:val="24"/>
          <w:lang w:val="sr-Latn-ME"/>
        </w:rPr>
      </w:pPr>
    </w:p>
    <w:p w:rsidR="00E504FA" w:rsidRDefault="00E504FA" w:rsidP="00E504FA">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Savjet Agencije je cijenio i ostale navode iz žalbe, pa je našao da nijesu od uticaja za drugačije rješavanje u ovoj pravnoj stvari.</w:t>
      </w:r>
    </w:p>
    <w:p w:rsidR="003D3413" w:rsidRPr="00E504FA" w:rsidRDefault="003D3413" w:rsidP="00E504FA">
      <w:pPr>
        <w:spacing w:after="0"/>
        <w:jc w:val="both"/>
        <w:rPr>
          <w:rFonts w:ascii="Tahoma" w:eastAsiaTheme="minorEastAsia" w:hAnsi="Tahoma" w:cs="Tahoma"/>
          <w:sz w:val="24"/>
          <w:szCs w:val="24"/>
          <w:lang w:val="sr-Latn-ME"/>
        </w:rPr>
      </w:pPr>
    </w:p>
    <w:p w:rsidR="00DF27CF" w:rsidRDefault="00E504FA" w:rsidP="00E504FA">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Sa iznijetih razloga, shodno članu 38 Zakona o slobodnom pristupu informacijama i člana 126 stav 7 Zakona o upravnom postupku, odlučeno je kao u izreci.</w:t>
      </w:r>
    </w:p>
    <w:p w:rsidR="00435DC5" w:rsidRPr="006B13BD" w:rsidRDefault="00435DC5" w:rsidP="00DF27CF">
      <w:pPr>
        <w:spacing w:after="0"/>
        <w:jc w:val="both"/>
        <w:rPr>
          <w:rFonts w:ascii="Tahoma" w:hAnsi="Tahoma" w:cs="Tahoma"/>
          <w:sz w:val="24"/>
          <w:szCs w:val="24"/>
        </w:rPr>
      </w:pPr>
    </w:p>
    <w:p w:rsidR="00436E4E" w:rsidRPr="0007774D" w:rsidRDefault="006E0D0E" w:rsidP="003D3413">
      <w:pPr>
        <w:spacing w:after="0"/>
        <w:jc w:val="both"/>
        <w:rPr>
          <w:rFonts w:ascii="Tahoma" w:eastAsiaTheme="minorEastAsia" w:hAnsi="Tahoma" w:cs="Tahoma"/>
          <w:sz w:val="24"/>
          <w:szCs w:val="24"/>
          <w:lang w:val="sr-Latn-ME" w:eastAsia="sr-Latn-ME"/>
        </w:rPr>
      </w:pPr>
      <w:r w:rsidRPr="003D3413">
        <w:rPr>
          <w:rFonts w:ascii="Tahoma" w:hAnsi="Tahoma" w:cs="Tahoma"/>
          <w:b/>
          <w:sz w:val="24"/>
          <w:szCs w:val="24"/>
        </w:rPr>
        <w:t xml:space="preserve"> </w:t>
      </w:r>
      <w:r w:rsidR="003D3413" w:rsidRPr="003D3413">
        <w:rPr>
          <w:rFonts w:ascii="Tahoma" w:hAnsi="Tahoma" w:cs="Tahoma"/>
          <w:b/>
          <w:sz w:val="24"/>
          <w:szCs w:val="24"/>
        </w:rPr>
        <w:t>P</w:t>
      </w:r>
      <w:r w:rsidR="00436E4E" w:rsidRPr="0007774D">
        <w:rPr>
          <w:rFonts w:ascii="Tahoma" w:eastAsiaTheme="minorEastAsia" w:hAnsi="Tahoma" w:cs="Tahoma"/>
          <w:b/>
          <w:sz w:val="24"/>
          <w:szCs w:val="24"/>
          <w:u w:val="single"/>
          <w:lang w:val="sr-Latn-ME" w:eastAsia="sr-Latn-ME"/>
        </w:rPr>
        <w:t>ravna pouka:</w:t>
      </w:r>
      <w:r w:rsidR="00436E4E"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00436E4E" w:rsidRPr="0007774D">
        <w:rPr>
          <w:rFonts w:ascii="Tahoma" w:eastAsiaTheme="minorEastAsia" w:hAnsi="Tahoma" w:cs="Tahoma"/>
          <w:lang w:val="sr-Latn-ME" w:eastAsia="sr-Latn-ME"/>
        </w:rPr>
        <w:tab/>
      </w:r>
      <w:r w:rsidR="00436E4E" w:rsidRPr="0007774D">
        <w:rPr>
          <w:rFonts w:ascii="Tahoma" w:eastAsiaTheme="minorEastAsia" w:hAnsi="Tahoma" w:cs="Tahoma"/>
          <w:lang w:val="sr-Latn-ME" w:eastAsia="sr-Latn-ME"/>
        </w:rPr>
        <w:tab/>
      </w:r>
      <w:r w:rsidR="00436E4E"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7648BB" w:rsidRPr="0007774D" w:rsidRDefault="007648BB" w:rsidP="004014BA">
      <w:pPr>
        <w:spacing w:after="0" w:line="240" w:lineRule="auto"/>
        <w:jc w:val="both"/>
        <w:rPr>
          <w:rFonts w:ascii="Tahoma" w:hAnsi="Tahoma" w:cs="Tahoma"/>
          <w:sz w:val="24"/>
          <w:szCs w:val="24"/>
          <w:lang w:val="sr-Latn-ME"/>
        </w:rPr>
      </w:pPr>
      <w:bookmarkStart w:id="0" w:name="_GoBack"/>
      <w:bookmarkEnd w:id="0"/>
    </w:p>
    <w:sectPr w:rsidR="007648BB" w:rsidRPr="0007774D" w:rsidSect="0007774D">
      <w:footerReference w:type="even" r:id="rId8"/>
      <w:footerReference w:type="default" r:id="rId9"/>
      <w:pgSz w:w="11907" w:h="16839" w:code="9"/>
      <w:pgMar w:top="1440"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CB8" w:rsidRDefault="00E33CB8" w:rsidP="00CB7F9A">
      <w:pPr>
        <w:spacing w:after="0" w:line="240" w:lineRule="auto"/>
      </w:pPr>
      <w:r>
        <w:separator/>
      </w:r>
    </w:p>
  </w:endnote>
  <w:endnote w:type="continuationSeparator" w:id="0">
    <w:p w:rsidR="00E33CB8" w:rsidRDefault="00E33CB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632" w:rsidRDefault="00860632">
    <w:pPr>
      <w:pStyle w:val="Footer"/>
    </w:pPr>
  </w:p>
  <w:p w:rsidR="00194BB7" w:rsidRDefault="00194BB7" w:rsidP="00194BB7">
    <w:pPr>
      <w:pStyle w:val="Footer"/>
      <w:rPr>
        <w:b/>
        <w:sz w:val="16"/>
        <w:szCs w:val="16"/>
      </w:rPr>
    </w:pPr>
  </w:p>
  <w:p w:rsidR="00194BB7" w:rsidRDefault="00194BB7" w:rsidP="00194BB7">
    <w:pPr>
      <w:pStyle w:val="Footer"/>
      <w:shd w:val="clear" w:color="auto" w:fill="FF0000"/>
      <w:jc w:val="center"/>
      <w:rPr>
        <w:b/>
        <w:color w:val="FF0000"/>
        <w:sz w:val="2"/>
        <w:szCs w:val="2"/>
      </w:rPr>
    </w:pPr>
  </w:p>
  <w:p w:rsidR="00194BB7" w:rsidRDefault="00194BB7" w:rsidP="00194BB7">
    <w:pPr>
      <w:pStyle w:val="Footer"/>
      <w:jc w:val="center"/>
      <w:rPr>
        <w:b/>
        <w:sz w:val="16"/>
        <w:szCs w:val="16"/>
      </w:rPr>
    </w:pPr>
  </w:p>
  <w:p w:rsidR="00194BB7" w:rsidRDefault="00194BB7" w:rsidP="00194BB7">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194BB7" w:rsidRDefault="00194BB7" w:rsidP="00194BB7">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07774D" w:rsidRDefault="0090753B" w:rsidP="00860632">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CB8" w:rsidRDefault="00E33CB8" w:rsidP="00CB7F9A">
      <w:pPr>
        <w:spacing w:after="0" w:line="240" w:lineRule="auto"/>
      </w:pPr>
      <w:r>
        <w:separator/>
      </w:r>
    </w:p>
  </w:footnote>
  <w:footnote w:type="continuationSeparator" w:id="0">
    <w:p w:rsidR="00E33CB8" w:rsidRDefault="00E33CB8"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D1F"/>
    <w:multiLevelType w:val="multilevel"/>
    <w:tmpl w:val="815ABA52"/>
    <w:lvl w:ilvl="0">
      <w:start w:val="2016"/>
      <w:numFmt w:val="decimal"/>
      <w:lvlText w:val="26.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D79318B"/>
    <w:multiLevelType w:val="multilevel"/>
    <w:tmpl w:val="B3AC509C"/>
    <w:lvl w:ilvl="0">
      <w:start w:val="2016"/>
      <w:numFmt w:val="decimal"/>
      <w:lvlText w:val="23.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6"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7"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0"/>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2102C"/>
    <w:rsid w:val="00024646"/>
    <w:rsid w:val="0005020F"/>
    <w:rsid w:val="00065AEA"/>
    <w:rsid w:val="00067C4C"/>
    <w:rsid w:val="00072AFB"/>
    <w:rsid w:val="00075B9A"/>
    <w:rsid w:val="0007774D"/>
    <w:rsid w:val="00097025"/>
    <w:rsid w:val="000D0F0B"/>
    <w:rsid w:val="000D5AEF"/>
    <w:rsid w:val="000E5D83"/>
    <w:rsid w:val="000F1AC3"/>
    <w:rsid w:val="000F3812"/>
    <w:rsid w:val="000F6DB1"/>
    <w:rsid w:val="00106E4D"/>
    <w:rsid w:val="0011170C"/>
    <w:rsid w:val="001131DD"/>
    <w:rsid w:val="00114C29"/>
    <w:rsid w:val="00153118"/>
    <w:rsid w:val="00155DE7"/>
    <w:rsid w:val="00161C44"/>
    <w:rsid w:val="00167474"/>
    <w:rsid w:val="00167CB6"/>
    <w:rsid w:val="001711DD"/>
    <w:rsid w:val="00175942"/>
    <w:rsid w:val="00186F5F"/>
    <w:rsid w:val="0019129C"/>
    <w:rsid w:val="00194BB7"/>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2C73"/>
    <w:rsid w:val="002861AD"/>
    <w:rsid w:val="0029425F"/>
    <w:rsid w:val="00295D8B"/>
    <w:rsid w:val="002A50A6"/>
    <w:rsid w:val="002A6C94"/>
    <w:rsid w:val="002B03FF"/>
    <w:rsid w:val="002B6C39"/>
    <w:rsid w:val="002E3275"/>
    <w:rsid w:val="002F1EDB"/>
    <w:rsid w:val="002F38B4"/>
    <w:rsid w:val="002F4DDC"/>
    <w:rsid w:val="00301208"/>
    <w:rsid w:val="003012E4"/>
    <w:rsid w:val="00325900"/>
    <w:rsid w:val="00337E9F"/>
    <w:rsid w:val="00340B4A"/>
    <w:rsid w:val="00350892"/>
    <w:rsid w:val="003529EB"/>
    <w:rsid w:val="003636E4"/>
    <w:rsid w:val="0036544B"/>
    <w:rsid w:val="00387445"/>
    <w:rsid w:val="00396068"/>
    <w:rsid w:val="003A4CDF"/>
    <w:rsid w:val="003B0821"/>
    <w:rsid w:val="003C5021"/>
    <w:rsid w:val="003D3413"/>
    <w:rsid w:val="003D385C"/>
    <w:rsid w:val="003D46D8"/>
    <w:rsid w:val="003D4DD8"/>
    <w:rsid w:val="003F7BB7"/>
    <w:rsid w:val="004014BA"/>
    <w:rsid w:val="00403BD7"/>
    <w:rsid w:val="00410861"/>
    <w:rsid w:val="00417568"/>
    <w:rsid w:val="00435DC5"/>
    <w:rsid w:val="00436E4E"/>
    <w:rsid w:val="0044288F"/>
    <w:rsid w:val="00443FFD"/>
    <w:rsid w:val="00446379"/>
    <w:rsid w:val="00455070"/>
    <w:rsid w:val="00461303"/>
    <w:rsid w:val="00464905"/>
    <w:rsid w:val="00473754"/>
    <w:rsid w:val="00482B16"/>
    <w:rsid w:val="00483434"/>
    <w:rsid w:val="004860E6"/>
    <w:rsid w:val="00487198"/>
    <w:rsid w:val="00495DAC"/>
    <w:rsid w:val="00497090"/>
    <w:rsid w:val="00497F2D"/>
    <w:rsid w:val="004A1B9C"/>
    <w:rsid w:val="004A3C6B"/>
    <w:rsid w:val="004B481E"/>
    <w:rsid w:val="004D1136"/>
    <w:rsid w:val="004D4DF0"/>
    <w:rsid w:val="004D7120"/>
    <w:rsid w:val="004E4D05"/>
    <w:rsid w:val="004E7F76"/>
    <w:rsid w:val="004F1D47"/>
    <w:rsid w:val="00501104"/>
    <w:rsid w:val="00502DA8"/>
    <w:rsid w:val="00502EA3"/>
    <w:rsid w:val="0050548F"/>
    <w:rsid w:val="00513EB5"/>
    <w:rsid w:val="00530460"/>
    <w:rsid w:val="00533C20"/>
    <w:rsid w:val="005342DC"/>
    <w:rsid w:val="0053499C"/>
    <w:rsid w:val="00536B17"/>
    <w:rsid w:val="00542738"/>
    <w:rsid w:val="00542DF1"/>
    <w:rsid w:val="00570121"/>
    <w:rsid w:val="00575027"/>
    <w:rsid w:val="0057502C"/>
    <w:rsid w:val="0057631C"/>
    <w:rsid w:val="00590569"/>
    <w:rsid w:val="005B3A7E"/>
    <w:rsid w:val="005D1D01"/>
    <w:rsid w:val="005D2102"/>
    <w:rsid w:val="005D3CAF"/>
    <w:rsid w:val="005F4F38"/>
    <w:rsid w:val="0060132C"/>
    <w:rsid w:val="0060163D"/>
    <w:rsid w:val="0060767C"/>
    <w:rsid w:val="00621111"/>
    <w:rsid w:val="00626CF9"/>
    <w:rsid w:val="00651D12"/>
    <w:rsid w:val="00656E64"/>
    <w:rsid w:val="0066044A"/>
    <w:rsid w:val="00664C3E"/>
    <w:rsid w:val="00672BA5"/>
    <w:rsid w:val="00677FFC"/>
    <w:rsid w:val="0068039A"/>
    <w:rsid w:val="0068499C"/>
    <w:rsid w:val="006933A6"/>
    <w:rsid w:val="006A1FBF"/>
    <w:rsid w:val="006B13BD"/>
    <w:rsid w:val="006C2D9B"/>
    <w:rsid w:val="006D7FD1"/>
    <w:rsid w:val="006E0D0E"/>
    <w:rsid w:val="006E2D2C"/>
    <w:rsid w:val="006E3B1D"/>
    <w:rsid w:val="0070044E"/>
    <w:rsid w:val="007034DC"/>
    <w:rsid w:val="00705245"/>
    <w:rsid w:val="007229C4"/>
    <w:rsid w:val="00740F75"/>
    <w:rsid w:val="00744806"/>
    <w:rsid w:val="007545C7"/>
    <w:rsid w:val="007648BB"/>
    <w:rsid w:val="0076490A"/>
    <w:rsid w:val="0077093E"/>
    <w:rsid w:val="00781EBB"/>
    <w:rsid w:val="007825E6"/>
    <w:rsid w:val="007A7AD4"/>
    <w:rsid w:val="007C1122"/>
    <w:rsid w:val="007C3477"/>
    <w:rsid w:val="007E1B2B"/>
    <w:rsid w:val="007F4030"/>
    <w:rsid w:val="00804B4A"/>
    <w:rsid w:val="00810853"/>
    <w:rsid w:val="008123B6"/>
    <w:rsid w:val="00817D11"/>
    <w:rsid w:val="00835B33"/>
    <w:rsid w:val="00840CD0"/>
    <w:rsid w:val="008513AF"/>
    <w:rsid w:val="00860632"/>
    <w:rsid w:val="00885CD8"/>
    <w:rsid w:val="00887560"/>
    <w:rsid w:val="00891C17"/>
    <w:rsid w:val="008933E1"/>
    <w:rsid w:val="008A5C95"/>
    <w:rsid w:val="008B2B67"/>
    <w:rsid w:val="008C70F7"/>
    <w:rsid w:val="008D03E8"/>
    <w:rsid w:val="008D18CD"/>
    <w:rsid w:val="008D29C2"/>
    <w:rsid w:val="008E5439"/>
    <w:rsid w:val="008E5935"/>
    <w:rsid w:val="008F0555"/>
    <w:rsid w:val="008F2CEE"/>
    <w:rsid w:val="00904268"/>
    <w:rsid w:val="0090753B"/>
    <w:rsid w:val="00910E99"/>
    <w:rsid w:val="009355B6"/>
    <w:rsid w:val="00937EDC"/>
    <w:rsid w:val="00942D27"/>
    <w:rsid w:val="009441FB"/>
    <w:rsid w:val="0094564A"/>
    <w:rsid w:val="00970930"/>
    <w:rsid w:val="0097542A"/>
    <w:rsid w:val="009773AC"/>
    <w:rsid w:val="00980099"/>
    <w:rsid w:val="0099473E"/>
    <w:rsid w:val="009B4D71"/>
    <w:rsid w:val="009D6C3D"/>
    <w:rsid w:val="009E35AF"/>
    <w:rsid w:val="009E431B"/>
    <w:rsid w:val="009E4E7A"/>
    <w:rsid w:val="009F7809"/>
    <w:rsid w:val="00A15C12"/>
    <w:rsid w:val="00A30365"/>
    <w:rsid w:val="00A30F50"/>
    <w:rsid w:val="00A36DCE"/>
    <w:rsid w:val="00A53FBF"/>
    <w:rsid w:val="00A66826"/>
    <w:rsid w:val="00A71CED"/>
    <w:rsid w:val="00A8610B"/>
    <w:rsid w:val="00A86BA7"/>
    <w:rsid w:val="00A9394D"/>
    <w:rsid w:val="00AB502E"/>
    <w:rsid w:val="00B0431D"/>
    <w:rsid w:val="00B05C8C"/>
    <w:rsid w:val="00B06E57"/>
    <w:rsid w:val="00B07017"/>
    <w:rsid w:val="00B132A7"/>
    <w:rsid w:val="00B144EB"/>
    <w:rsid w:val="00B15346"/>
    <w:rsid w:val="00B23C0F"/>
    <w:rsid w:val="00B30A52"/>
    <w:rsid w:val="00B36B59"/>
    <w:rsid w:val="00B36E00"/>
    <w:rsid w:val="00B5137B"/>
    <w:rsid w:val="00B513AE"/>
    <w:rsid w:val="00B55E2C"/>
    <w:rsid w:val="00B65E5D"/>
    <w:rsid w:val="00B83D56"/>
    <w:rsid w:val="00B844E7"/>
    <w:rsid w:val="00B85FB3"/>
    <w:rsid w:val="00B932E3"/>
    <w:rsid w:val="00BB4ED8"/>
    <w:rsid w:val="00BD5B98"/>
    <w:rsid w:val="00BD7622"/>
    <w:rsid w:val="00BD7F70"/>
    <w:rsid w:val="00BF2F93"/>
    <w:rsid w:val="00C00D7B"/>
    <w:rsid w:val="00C07D3F"/>
    <w:rsid w:val="00C12ED1"/>
    <w:rsid w:val="00C155F5"/>
    <w:rsid w:val="00C21521"/>
    <w:rsid w:val="00C24597"/>
    <w:rsid w:val="00C33288"/>
    <w:rsid w:val="00C33C0D"/>
    <w:rsid w:val="00C436E9"/>
    <w:rsid w:val="00C55206"/>
    <w:rsid w:val="00C607CE"/>
    <w:rsid w:val="00C67FDB"/>
    <w:rsid w:val="00C7624B"/>
    <w:rsid w:val="00C84F82"/>
    <w:rsid w:val="00C93CF3"/>
    <w:rsid w:val="00C9527E"/>
    <w:rsid w:val="00CB342B"/>
    <w:rsid w:val="00CB63B1"/>
    <w:rsid w:val="00CB741F"/>
    <w:rsid w:val="00CB7F9A"/>
    <w:rsid w:val="00CC0D7C"/>
    <w:rsid w:val="00CF0E54"/>
    <w:rsid w:val="00D05FDA"/>
    <w:rsid w:val="00D2736A"/>
    <w:rsid w:val="00D35952"/>
    <w:rsid w:val="00D4029B"/>
    <w:rsid w:val="00D46260"/>
    <w:rsid w:val="00D568DE"/>
    <w:rsid w:val="00D56CA4"/>
    <w:rsid w:val="00D64681"/>
    <w:rsid w:val="00D71019"/>
    <w:rsid w:val="00D7455B"/>
    <w:rsid w:val="00D74921"/>
    <w:rsid w:val="00D945A1"/>
    <w:rsid w:val="00DA0A90"/>
    <w:rsid w:val="00DA5B0D"/>
    <w:rsid w:val="00DC1A1D"/>
    <w:rsid w:val="00DC5F09"/>
    <w:rsid w:val="00DD263D"/>
    <w:rsid w:val="00DD27D0"/>
    <w:rsid w:val="00DE069C"/>
    <w:rsid w:val="00DE3ABA"/>
    <w:rsid w:val="00DE51FF"/>
    <w:rsid w:val="00DF27CF"/>
    <w:rsid w:val="00DF4573"/>
    <w:rsid w:val="00DF62DE"/>
    <w:rsid w:val="00E03674"/>
    <w:rsid w:val="00E07885"/>
    <w:rsid w:val="00E17A08"/>
    <w:rsid w:val="00E204A4"/>
    <w:rsid w:val="00E22909"/>
    <w:rsid w:val="00E27567"/>
    <w:rsid w:val="00E33CB8"/>
    <w:rsid w:val="00E4646B"/>
    <w:rsid w:val="00E504FA"/>
    <w:rsid w:val="00E5189F"/>
    <w:rsid w:val="00E520A1"/>
    <w:rsid w:val="00E62A90"/>
    <w:rsid w:val="00E63696"/>
    <w:rsid w:val="00E65889"/>
    <w:rsid w:val="00E70C5E"/>
    <w:rsid w:val="00E8428E"/>
    <w:rsid w:val="00E9209C"/>
    <w:rsid w:val="00E92931"/>
    <w:rsid w:val="00E97E23"/>
    <w:rsid w:val="00EA1642"/>
    <w:rsid w:val="00EA2993"/>
    <w:rsid w:val="00EA54C4"/>
    <w:rsid w:val="00EB20F9"/>
    <w:rsid w:val="00EC3E82"/>
    <w:rsid w:val="00EC67B4"/>
    <w:rsid w:val="00ED0E85"/>
    <w:rsid w:val="00ED7732"/>
    <w:rsid w:val="00EE41C0"/>
    <w:rsid w:val="00F03089"/>
    <w:rsid w:val="00F12FFC"/>
    <w:rsid w:val="00F147BC"/>
    <w:rsid w:val="00F17D8A"/>
    <w:rsid w:val="00F20709"/>
    <w:rsid w:val="00F2349F"/>
    <w:rsid w:val="00F24863"/>
    <w:rsid w:val="00F404CF"/>
    <w:rsid w:val="00F50793"/>
    <w:rsid w:val="00F53FCA"/>
    <w:rsid w:val="00F76CAE"/>
    <w:rsid w:val="00F81B08"/>
    <w:rsid w:val="00F83B26"/>
    <w:rsid w:val="00F84081"/>
    <w:rsid w:val="00F91BE3"/>
    <w:rsid w:val="00F95485"/>
    <w:rsid w:val="00FA0206"/>
    <w:rsid w:val="00FA6671"/>
    <w:rsid w:val="00FB2EE2"/>
    <w:rsid w:val="00FD75E9"/>
    <w:rsid w:val="00FF1C4F"/>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B01DF6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4E4D05"/>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character" w:customStyle="1" w:styleId="Bodytext8">
    <w:name w:val="Body text (8)_"/>
    <w:basedOn w:val="DefaultParagraphFont"/>
    <w:link w:val="Bodytext80"/>
    <w:rsid w:val="00282C73"/>
    <w:rPr>
      <w:rFonts w:ascii="Times New Roman" w:eastAsia="Times New Roman" w:hAnsi="Times New Roman" w:cs="Times New Roman"/>
      <w:shd w:val="clear" w:color="auto" w:fill="FFFFFF"/>
    </w:rPr>
  </w:style>
  <w:style w:type="character" w:customStyle="1" w:styleId="Bodytext9">
    <w:name w:val="Body text (9)_"/>
    <w:basedOn w:val="DefaultParagraphFont"/>
    <w:link w:val="Bodytext90"/>
    <w:rsid w:val="00282C73"/>
    <w:rPr>
      <w:rFonts w:ascii="Times New Roman" w:eastAsia="Times New Roman" w:hAnsi="Times New Roman" w:cs="Times New Roman"/>
      <w:b/>
      <w:bCs/>
      <w:shd w:val="clear" w:color="auto" w:fill="FFFFFF"/>
    </w:rPr>
  </w:style>
  <w:style w:type="character" w:customStyle="1" w:styleId="Bodytext8Bold">
    <w:name w:val="Body text (8) + Bold"/>
    <w:basedOn w:val="Bodytext8"/>
    <w:rsid w:val="00282C73"/>
    <w:rPr>
      <w:rFonts w:ascii="Times New Roman" w:eastAsia="Times New Roman" w:hAnsi="Times New Roman" w:cs="Times New Roman"/>
      <w:b/>
      <w:bCs/>
      <w:color w:val="000000"/>
      <w:spacing w:val="0"/>
      <w:w w:val="100"/>
      <w:position w:val="0"/>
      <w:shd w:val="clear" w:color="auto" w:fill="FFFFFF"/>
      <w:lang w:val="hr-HR"/>
    </w:rPr>
  </w:style>
  <w:style w:type="paragraph" w:customStyle="1" w:styleId="Bodytext80">
    <w:name w:val="Body text (8)"/>
    <w:basedOn w:val="Normal"/>
    <w:link w:val="Bodytext8"/>
    <w:rsid w:val="00282C73"/>
    <w:pPr>
      <w:widowControl w:val="0"/>
      <w:shd w:val="clear" w:color="auto" w:fill="FFFFFF"/>
      <w:spacing w:after="480" w:line="274" w:lineRule="exact"/>
    </w:pPr>
    <w:rPr>
      <w:rFonts w:ascii="Times New Roman" w:eastAsia="Times New Roman" w:hAnsi="Times New Roman" w:cs="Times New Roman"/>
    </w:rPr>
  </w:style>
  <w:style w:type="paragraph" w:customStyle="1" w:styleId="Bodytext90">
    <w:name w:val="Body text (9)"/>
    <w:basedOn w:val="Normal"/>
    <w:link w:val="Bodytext9"/>
    <w:rsid w:val="00282C73"/>
    <w:pPr>
      <w:widowControl w:val="0"/>
      <w:shd w:val="clear" w:color="auto" w:fill="FFFFFF"/>
      <w:spacing w:before="480" w:after="300" w:line="0" w:lineRule="atLeast"/>
      <w:jc w:val="center"/>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47784613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72723207">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DC59E5-602A-4A4E-9082-2E617A0F4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1481</Words>
  <Characters>8446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17</cp:revision>
  <cp:lastPrinted>2019-03-12T08:40:00Z</cp:lastPrinted>
  <dcterms:created xsi:type="dcterms:W3CDTF">2018-05-25T10:48:00Z</dcterms:created>
  <dcterms:modified xsi:type="dcterms:W3CDTF">2019-06-14T07:42:00Z</dcterms:modified>
</cp:coreProperties>
</file>