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0F402A" w:rsidRPr="00A657F5" w:rsidRDefault="000F402A" w:rsidP="000F402A">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UP II 07-30-1411-3/17</w:t>
      </w:r>
    </w:p>
    <w:p w:rsidR="000F402A" w:rsidRPr="00A657F5" w:rsidRDefault="000F402A" w:rsidP="000F402A">
      <w:pPr>
        <w:jc w:val="both"/>
        <w:rPr>
          <w:rFonts w:ascii="Tahoma" w:hAnsi="Tahoma" w:cs="Tahoma"/>
          <w:b/>
          <w:sz w:val="24"/>
          <w:szCs w:val="24"/>
        </w:rPr>
      </w:pPr>
      <w:r w:rsidRPr="00A657F5">
        <w:rPr>
          <w:rFonts w:ascii="Tahoma" w:hAnsi="Tahoma" w:cs="Tahoma"/>
          <w:b/>
          <w:sz w:val="24"/>
          <w:szCs w:val="24"/>
        </w:rPr>
        <w:t xml:space="preserve">Podgorica, </w:t>
      </w:r>
      <w:r w:rsidR="00064E83" w:rsidRPr="00064E83">
        <w:rPr>
          <w:rFonts w:ascii="Tahoma" w:hAnsi="Tahoma" w:cs="Tahoma"/>
          <w:b/>
          <w:sz w:val="24"/>
          <w:szCs w:val="24"/>
        </w:rPr>
        <w:t>15</w:t>
      </w:r>
      <w:r w:rsidRPr="00064E83">
        <w:rPr>
          <w:rFonts w:ascii="Tahoma" w:hAnsi="Tahoma" w:cs="Tahoma"/>
          <w:b/>
          <w:sz w:val="24"/>
          <w:szCs w:val="24"/>
        </w:rPr>
        <w:t>.0</w:t>
      </w:r>
      <w:r w:rsidR="00064E83" w:rsidRPr="00064E83">
        <w:rPr>
          <w:rFonts w:ascii="Tahoma" w:hAnsi="Tahoma" w:cs="Tahoma"/>
          <w:b/>
          <w:sz w:val="24"/>
          <w:szCs w:val="24"/>
        </w:rPr>
        <w:t>2</w:t>
      </w:r>
      <w:r w:rsidRPr="00064E83">
        <w:rPr>
          <w:rFonts w:ascii="Tahoma" w:hAnsi="Tahoma" w:cs="Tahoma"/>
          <w:b/>
          <w:sz w:val="24"/>
          <w:szCs w:val="24"/>
        </w:rPr>
        <w:t xml:space="preserve">.2019.godine             </w:t>
      </w:r>
    </w:p>
    <w:p w:rsidR="000F402A" w:rsidRDefault="000F402A" w:rsidP="000F402A">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w:t>
      </w:r>
      <w:r>
        <w:rPr>
          <w:rFonts w:ascii="Tahoma" w:hAnsi="Tahoma" w:cs="Tahoma"/>
          <w:sz w:val="24"/>
          <w:szCs w:val="24"/>
        </w:rPr>
        <w:t xml:space="preserve">postupajući po presudi Upravnog suda U.br. 5118/17 od 28.06.2018. godine, </w:t>
      </w:r>
      <w:r w:rsidRPr="00A657F5">
        <w:rPr>
          <w:rFonts w:ascii="Tahoma" w:hAnsi="Tahoma" w:cs="Tahoma"/>
          <w:sz w:val="24"/>
          <w:szCs w:val="24"/>
        </w:rPr>
        <w:t xml:space="preserve">rješavajući po žalbi </w:t>
      </w:r>
      <w:r>
        <w:rPr>
          <w:rFonts w:ascii="Tahoma" w:hAnsi="Tahoma" w:cs="Tahoma"/>
          <w:sz w:val="24"/>
          <w:szCs w:val="24"/>
        </w:rPr>
        <w:t>NVO Mans br.17/108422-108423 od 24.03.2017</w:t>
      </w:r>
      <w:r w:rsidRPr="00746E03">
        <w:rPr>
          <w:rFonts w:ascii="Tahoma" w:hAnsi="Tahoma" w:cs="Tahoma"/>
          <w:sz w:val="24"/>
          <w:szCs w:val="24"/>
        </w:rPr>
        <w:t>.</w:t>
      </w:r>
      <w:r>
        <w:rPr>
          <w:rFonts w:ascii="Tahoma" w:hAnsi="Tahoma" w:cs="Tahoma"/>
          <w:sz w:val="24"/>
          <w:szCs w:val="24"/>
        </w:rPr>
        <w:t xml:space="preserve"> </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 xml:space="preserve">Ministarstva ekonomije broj: 004-09/2017-2 od 15.03.2017.godine, </w:t>
      </w:r>
      <w:r w:rsidRPr="00A657F5">
        <w:rPr>
          <w:rFonts w:ascii="Tahoma" w:hAnsi="Tahoma" w:cs="Tahoma"/>
          <w:sz w:val="24"/>
          <w:szCs w:val="24"/>
        </w:rPr>
        <w:t xml:space="preserve">na osnovu člana </w:t>
      </w:r>
      <w:r w:rsidRPr="0015086A">
        <w:rPr>
          <w:rFonts w:ascii="Tahoma" w:hAnsi="Tahoma" w:cs="Tahoma"/>
          <w:sz w:val="24"/>
          <w:szCs w:val="24"/>
        </w:rPr>
        <w:t>38 Zakona o slobodnom pristupu informacijama (“Sl.list Crne Gore”, br.44/12</w:t>
      </w:r>
      <w:r>
        <w:rPr>
          <w:rFonts w:ascii="Tahoma" w:hAnsi="Tahoma" w:cs="Tahoma"/>
          <w:sz w:val="24"/>
          <w:szCs w:val="24"/>
        </w:rPr>
        <w:t xml:space="preserve"> i 030/17</w:t>
      </w:r>
      <w:r w:rsidRPr="0015086A">
        <w:rPr>
          <w:rFonts w:ascii="Tahoma" w:hAnsi="Tahoma" w:cs="Tahoma"/>
          <w:sz w:val="24"/>
          <w:szCs w:val="24"/>
        </w:rPr>
        <w:t xml:space="preserve">) i člana 237 stav 2 Zakona o opštem upravnom postupku (“Sl.list Crne Gore”, br.60/03, 73/10 i 32/11) </w:t>
      </w:r>
      <w:r w:rsidRPr="0091003F">
        <w:rPr>
          <w:rFonts w:ascii="Tahoma" w:hAnsi="Tahoma" w:cs="Tahoma"/>
          <w:sz w:val="24"/>
          <w:szCs w:val="24"/>
        </w:rPr>
        <w:t xml:space="preserve">je na sjednici </w:t>
      </w:r>
      <w:r w:rsidRPr="00A657F5">
        <w:rPr>
          <w:rFonts w:ascii="Tahoma" w:hAnsi="Tahoma" w:cs="Tahoma"/>
          <w:sz w:val="24"/>
          <w:szCs w:val="24"/>
        </w:rPr>
        <w:t xml:space="preserve">održanoj dana </w:t>
      </w:r>
      <w:r>
        <w:rPr>
          <w:rFonts w:ascii="Tahoma" w:hAnsi="Tahoma" w:cs="Tahoma"/>
          <w:sz w:val="24"/>
          <w:szCs w:val="24"/>
        </w:rPr>
        <w:t>02.08.2018</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0F402A" w:rsidRPr="00EA7D8C" w:rsidRDefault="000F402A" w:rsidP="000F402A">
      <w:pPr>
        <w:jc w:val="both"/>
        <w:rPr>
          <w:rFonts w:ascii="Tahoma" w:hAnsi="Tahoma" w:cs="Tahoma"/>
          <w:sz w:val="24"/>
          <w:szCs w:val="24"/>
        </w:rPr>
      </w:pPr>
    </w:p>
    <w:p w:rsidR="000F402A" w:rsidRPr="00AB6026" w:rsidRDefault="000F402A" w:rsidP="000F402A">
      <w:pPr>
        <w:jc w:val="center"/>
        <w:rPr>
          <w:rFonts w:ascii="Tahoma" w:hAnsi="Tahoma" w:cs="Tahoma"/>
          <w:b/>
          <w:sz w:val="24"/>
          <w:szCs w:val="24"/>
        </w:rPr>
      </w:pPr>
      <w:r w:rsidRPr="00A657F5">
        <w:rPr>
          <w:rFonts w:ascii="Tahoma" w:hAnsi="Tahoma" w:cs="Tahoma"/>
          <w:b/>
          <w:sz w:val="24"/>
          <w:szCs w:val="24"/>
        </w:rPr>
        <w:t>R J E Š E NJ E</w:t>
      </w:r>
    </w:p>
    <w:p w:rsidR="000F402A" w:rsidRPr="004B66C2" w:rsidRDefault="000F402A" w:rsidP="000F402A">
      <w:pPr>
        <w:rPr>
          <w:rFonts w:ascii="Tahoma" w:hAnsi="Tahoma" w:cs="Tahoma"/>
          <w:b/>
          <w:sz w:val="24"/>
          <w:szCs w:val="24"/>
        </w:rPr>
      </w:pPr>
      <w:r w:rsidRPr="0015086A">
        <w:rPr>
          <w:rFonts w:ascii="Tahoma" w:hAnsi="Tahoma" w:cs="Tahoma"/>
          <w:sz w:val="24"/>
          <w:szCs w:val="24"/>
        </w:rPr>
        <w:t>Usvaja se žalba .</w:t>
      </w:r>
    </w:p>
    <w:p w:rsidR="000F402A" w:rsidRDefault="000F402A" w:rsidP="000F402A">
      <w:pPr>
        <w:jc w:val="both"/>
        <w:rPr>
          <w:rFonts w:ascii="Tahoma" w:hAnsi="Tahoma" w:cs="Tahoma"/>
          <w:sz w:val="24"/>
          <w:szCs w:val="24"/>
        </w:rPr>
      </w:pPr>
      <w:r w:rsidRPr="0015086A">
        <w:rPr>
          <w:rFonts w:ascii="Tahoma" w:hAnsi="Tahoma" w:cs="Tahoma"/>
          <w:sz w:val="24"/>
          <w:szCs w:val="24"/>
        </w:rPr>
        <w:t xml:space="preserve">Poništava </w:t>
      </w:r>
      <w:r>
        <w:rPr>
          <w:rFonts w:ascii="Tahoma" w:hAnsi="Tahoma" w:cs="Tahoma"/>
          <w:sz w:val="24"/>
          <w:szCs w:val="24"/>
        </w:rPr>
        <w:t>se rješenje</w:t>
      </w:r>
      <w:r w:rsidRPr="00A657F5">
        <w:rPr>
          <w:rFonts w:ascii="Tahoma" w:hAnsi="Tahoma" w:cs="Tahoma"/>
          <w:sz w:val="24"/>
          <w:szCs w:val="24"/>
        </w:rPr>
        <w:t xml:space="preserve"> </w:t>
      </w:r>
      <w:r>
        <w:rPr>
          <w:rFonts w:ascii="Tahoma" w:hAnsi="Tahoma" w:cs="Tahoma"/>
          <w:sz w:val="24"/>
          <w:szCs w:val="24"/>
        </w:rPr>
        <w:t>Ministarstva ekonomije broj: 004-09/2017-2 od 15.03.2017.godine</w:t>
      </w:r>
      <w:r w:rsidRPr="0015086A">
        <w:rPr>
          <w:rFonts w:ascii="Tahoma" w:hAnsi="Tahoma" w:cs="Tahoma"/>
          <w:sz w:val="24"/>
          <w:szCs w:val="24"/>
        </w:rPr>
        <w:t xml:space="preserve"> </w:t>
      </w:r>
    </w:p>
    <w:p w:rsidR="000F402A" w:rsidRDefault="000F402A" w:rsidP="000F402A">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r>
        <w:rPr>
          <w:rFonts w:ascii="Tahoma" w:hAnsi="Tahoma" w:cs="Tahoma"/>
          <w:sz w:val="24"/>
          <w:szCs w:val="24"/>
        </w:rPr>
        <w:t>.</w:t>
      </w:r>
    </w:p>
    <w:p w:rsidR="000F402A" w:rsidRPr="00EA7D8C" w:rsidRDefault="000F402A" w:rsidP="000F402A">
      <w:pPr>
        <w:rPr>
          <w:rFonts w:ascii="Tahoma" w:hAnsi="Tahoma" w:cs="Tahoma"/>
          <w:sz w:val="24"/>
          <w:szCs w:val="24"/>
        </w:rPr>
      </w:pPr>
    </w:p>
    <w:p w:rsidR="000F402A" w:rsidRPr="00A657F5" w:rsidRDefault="000F402A" w:rsidP="000F402A">
      <w:pPr>
        <w:jc w:val="center"/>
        <w:rPr>
          <w:rFonts w:ascii="Tahoma" w:hAnsi="Tahoma" w:cs="Tahoma"/>
          <w:b/>
          <w:sz w:val="24"/>
          <w:szCs w:val="24"/>
        </w:rPr>
      </w:pPr>
      <w:r w:rsidRPr="00A657F5">
        <w:rPr>
          <w:rFonts w:ascii="Tahoma" w:hAnsi="Tahoma" w:cs="Tahoma"/>
          <w:b/>
          <w:sz w:val="24"/>
          <w:szCs w:val="24"/>
        </w:rPr>
        <w:t>O b r a z l o ž e nj e</w:t>
      </w:r>
    </w:p>
    <w:p w:rsidR="000F402A" w:rsidRDefault="000F402A" w:rsidP="000F402A">
      <w:pPr>
        <w:pStyle w:val="NoSpacing"/>
        <w:spacing w:line="276" w:lineRule="auto"/>
        <w:jc w:val="both"/>
        <w:rPr>
          <w:rFonts w:ascii="Tahoma" w:hAnsi="Tahoma" w:cs="Tahoma"/>
          <w:sz w:val="24"/>
          <w:szCs w:val="24"/>
        </w:rPr>
      </w:pPr>
    </w:p>
    <w:p w:rsidR="000F402A" w:rsidRPr="009D170C" w:rsidRDefault="000F402A" w:rsidP="000F402A">
      <w:pPr>
        <w:pStyle w:val="Bodytext40"/>
        <w:spacing w:after="177" w:line="276" w:lineRule="auto"/>
        <w:ind w:left="40"/>
        <w:jc w:val="both"/>
        <w:rPr>
          <w:rFonts w:ascii="Tahoma" w:hAnsi="Tahoma" w:cs="Tahoma"/>
          <w:sz w:val="24"/>
          <w:szCs w:val="24"/>
        </w:rPr>
      </w:pPr>
      <w:r>
        <w:rPr>
          <w:rFonts w:ascii="Tahoma" w:hAnsi="Tahoma" w:cs="Tahoma"/>
          <w:sz w:val="24"/>
          <w:szCs w:val="24"/>
        </w:rPr>
        <w:t xml:space="preserve">     </w:t>
      </w:r>
      <w:r w:rsidRPr="009D170C">
        <w:rPr>
          <w:rFonts w:ascii="Tahoma" w:hAnsi="Tahoma" w:cs="Tahoma"/>
          <w:sz w:val="24"/>
          <w:szCs w:val="24"/>
        </w:rPr>
        <w:t xml:space="preserve">Prvostepeni organ je donio rješenje </w:t>
      </w:r>
      <w:r>
        <w:rPr>
          <w:rFonts w:ascii="Tahoma" w:hAnsi="Tahoma" w:cs="Tahoma"/>
          <w:sz w:val="24"/>
          <w:szCs w:val="24"/>
        </w:rPr>
        <w:t xml:space="preserve">broj: </w:t>
      </w:r>
      <w:r w:rsidRPr="0028391B">
        <w:rPr>
          <w:rFonts w:ascii="Tahoma" w:hAnsi="Tahoma" w:cs="Tahoma"/>
          <w:sz w:val="24"/>
          <w:szCs w:val="24"/>
        </w:rPr>
        <w:t xml:space="preserve">004-09/2017 od 15.03.2017.godine </w:t>
      </w:r>
      <w:r w:rsidRPr="009D170C">
        <w:rPr>
          <w:rFonts w:ascii="Tahoma" w:hAnsi="Tahoma" w:cs="Tahoma"/>
          <w:sz w:val="24"/>
          <w:szCs w:val="24"/>
        </w:rPr>
        <w:t xml:space="preserve">po osnovu podnijetog zahtjeva za slobodan pristup informacijama podnosioca </w:t>
      </w:r>
      <w:r>
        <w:rPr>
          <w:rFonts w:ascii="Tahoma" w:hAnsi="Tahoma" w:cs="Tahoma"/>
          <w:sz w:val="24"/>
          <w:szCs w:val="24"/>
        </w:rPr>
        <w:t xml:space="preserve">NVO MANS iz Podgorice </w:t>
      </w:r>
      <w:r w:rsidRPr="009D170C">
        <w:rPr>
          <w:rFonts w:ascii="Tahoma" w:hAnsi="Tahoma" w:cs="Tahoma"/>
          <w:sz w:val="24"/>
          <w:szCs w:val="24"/>
        </w:rPr>
        <w:t>na način što je odlučeno</w:t>
      </w:r>
      <w:r>
        <w:rPr>
          <w:rFonts w:ascii="Tahoma" w:hAnsi="Tahoma" w:cs="Tahoma"/>
          <w:sz w:val="24"/>
          <w:szCs w:val="24"/>
        </w:rPr>
        <w:t xml:space="preserve"> da se: „</w:t>
      </w:r>
      <w:r w:rsidRPr="0017382D">
        <w:rPr>
          <w:rFonts w:ascii="Tahoma" w:hAnsi="Tahoma" w:cs="Tahoma"/>
          <w:sz w:val="24"/>
          <w:szCs w:val="24"/>
        </w:rPr>
        <w:t>1.</w:t>
      </w:r>
      <w:r w:rsidRPr="0017382D">
        <w:rPr>
          <w:rStyle w:val="Bodytext4Bold"/>
          <w:rFonts w:ascii="Tahoma" w:hAnsi="Tahoma" w:cs="Tahoma"/>
          <w:b w:val="0"/>
          <w:sz w:val="24"/>
          <w:szCs w:val="24"/>
        </w:rPr>
        <w:t xml:space="preserve"> Odbija se</w:t>
      </w:r>
      <w:r w:rsidRPr="0017382D">
        <w:rPr>
          <w:rFonts w:ascii="Tahoma" w:hAnsi="Tahoma" w:cs="Tahoma"/>
          <w:sz w:val="24"/>
          <w:szCs w:val="24"/>
        </w:rPr>
        <w:t xml:space="preserve"> zahtjev Mreže za afirmaciju nevladinog sektora - MANS iz Podgorice, ul.Dalmatinska 188, br. 17/108422-108423 od 24.01.2017. godine, koji se odnosi na </w:t>
      </w:r>
      <w:r>
        <w:rPr>
          <w:rFonts w:ascii="Tahoma" w:hAnsi="Tahoma" w:cs="Tahoma"/>
          <w:sz w:val="24"/>
          <w:szCs w:val="24"/>
        </w:rPr>
        <w:t>kopiju</w:t>
      </w:r>
      <w:r w:rsidRPr="0017382D">
        <w:rPr>
          <w:rFonts w:ascii="Tahoma" w:hAnsi="Tahoma" w:cs="Tahoma"/>
          <w:sz w:val="24"/>
          <w:szCs w:val="24"/>
        </w:rPr>
        <w:t>:</w:t>
      </w:r>
      <w:r>
        <w:rPr>
          <w:rFonts w:ascii="Tahoma" w:hAnsi="Tahoma" w:cs="Tahoma"/>
          <w:sz w:val="24"/>
          <w:szCs w:val="24"/>
        </w:rPr>
        <w:t xml:space="preserve"> </w:t>
      </w:r>
      <w:r w:rsidRPr="0017382D">
        <w:rPr>
          <w:rFonts w:ascii="Tahoma" w:hAnsi="Tahoma" w:cs="Tahoma"/>
          <w:sz w:val="24"/>
          <w:szCs w:val="24"/>
        </w:rPr>
        <w:t>ugovora o koncesiji za proizvodnju ugljovodonika u podmorju Crne Gore za blokove 4219-26 i 4218-30 sa pripadajućim aneksima, koje je Ministarstvo ekonomije u ime Vlade Crne Gore zaključilo sa kompanijom Energan Oil&amp;Gas</w:t>
      </w:r>
      <w:r>
        <w:rPr>
          <w:rFonts w:ascii="Tahoma" w:hAnsi="Tahoma" w:cs="Tahoma"/>
          <w:sz w:val="24"/>
          <w:szCs w:val="24"/>
        </w:rPr>
        <w:t xml:space="preserve"> i </w:t>
      </w:r>
      <w:r w:rsidRPr="0017382D">
        <w:rPr>
          <w:rFonts w:ascii="Tahoma" w:hAnsi="Tahoma" w:cs="Tahoma"/>
          <w:sz w:val="24"/>
          <w:szCs w:val="24"/>
        </w:rPr>
        <w:t>kompletnu dokumentaciju koju je kompanija Energan Oil&amp;Gas dostavila Ministarstvu ekonomije, a koja je predhodila zaključenju ugovora o koncesiji za proizvodnju ugljovodonika u podmorju Crne Gore za blokove 4219-26 i 4218-30</w:t>
      </w:r>
      <w:r>
        <w:rPr>
          <w:rFonts w:ascii="Tahoma" w:hAnsi="Tahoma" w:cs="Tahoma"/>
          <w:sz w:val="24"/>
          <w:szCs w:val="24"/>
        </w:rPr>
        <w:t xml:space="preserve"> </w:t>
      </w:r>
      <w:r w:rsidRPr="001C69AC">
        <w:rPr>
          <w:rFonts w:ascii="Tahoma" w:hAnsi="Tahoma" w:cs="Tahoma"/>
          <w:sz w:val="24"/>
          <w:szCs w:val="24"/>
        </w:rPr>
        <w:t>.</w:t>
      </w:r>
      <w:r>
        <w:rPr>
          <w:rFonts w:ascii="Tahoma" w:hAnsi="Tahoma" w:cs="Tahoma"/>
          <w:sz w:val="24"/>
          <w:szCs w:val="24"/>
        </w:rPr>
        <w:t xml:space="preserve">“ </w:t>
      </w:r>
      <w:r w:rsidRPr="009D170C">
        <w:rPr>
          <w:rFonts w:ascii="Tahoma" w:hAnsi="Tahoma" w:cs="Tahoma"/>
          <w:sz w:val="24"/>
          <w:szCs w:val="24"/>
        </w:rPr>
        <w:t xml:space="preserve">U obrazloženju osporenog rješenja </w:t>
      </w:r>
      <w:r>
        <w:rPr>
          <w:rFonts w:ascii="Tahoma" w:hAnsi="Tahoma" w:cs="Tahoma"/>
          <w:sz w:val="24"/>
          <w:szCs w:val="24"/>
        </w:rPr>
        <w:t>se navodi</w:t>
      </w:r>
      <w:r w:rsidRPr="007A7B9F">
        <w:t xml:space="preserve"> </w:t>
      </w:r>
      <w:r w:rsidRPr="007A7B9F">
        <w:rPr>
          <w:rFonts w:ascii="Tahoma" w:hAnsi="Tahoma" w:cs="Tahoma"/>
          <w:sz w:val="24"/>
          <w:szCs w:val="24"/>
        </w:rPr>
        <w:t xml:space="preserve">NVO Mans iz Podgorice dana </w:t>
      </w:r>
      <w:r w:rsidRPr="007A7B9F">
        <w:rPr>
          <w:rFonts w:ascii="Tahoma" w:hAnsi="Tahoma" w:cs="Tahoma"/>
          <w:sz w:val="24"/>
          <w:szCs w:val="24"/>
        </w:rPr>
        <w:lastRenderedPageBreak/>
        <w:t>29.01.2017.godine dostavila Ministarstvu ekonomije zahtjev broj 17/108422-108423 za dostavljanje komplentne dokumentacije koju je kompanija Energean Oil&amp;Gas dostavila Ministarstvu ekonomije, a koja je prethodila zaključenju Ugovora o koncesiji za proizvodnju ugljovodonika u podmorju Crne Gore za blokove 4219-26 i 4218-30. U postupku po zahtjevu, Ministarstvo ekonomije je utvrdilo da je zahtjev neosnovan.</w:t>
      </w:r>
      <w:r>
        <w:rPr>
          <w:rFonts w:ascii="Tahoma" w:hAnsi="Tahoma" w:cs="Tahoma"/>
          <w:sz w:val="24"/>
          <w:szCs w:val="24"/>
        </w:rPr>
        <w:t xml:space="preserve"> </w:t>
      </w:r>
      <w:r w:rsidRPr="007A7B9F">
        <w:rPr>
          <w:rFonts w:ascii="Tahoma" w:hAnsi="Tahoma" w:cs="Tahoma"/>
          <w:sz w:val="24"/>
          <w:szCs w:val="24"/>
        </w:rPr>
        <w:t>Naime, članom 14 stav 1 tačka 5 Zakona o slobodnom pristupu informacijama („Službeni list CG", broj 44/12)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w:t>
      </w:r>
      <w:r>
        <w:rPr>
          <w:rFonts w:ascii="Tahoma" w:hAnsi="Tahoma" w:cs="Tahoma"/>
          <w:sz w:val="24"/>
          <w:szCs w:val="24"/>
        </w:rPr>
        <w:t xml:space="preserve">a pravom intelektualne svojine. </w:t>
      </w:r>
      <w:r w:rsidRPr="007A7B9F">
        <w:rPr>
          <w:rFonts w:ascii="Tahoma" w:hAnsi="Tahoma" w:cs="Tahoma"/>
          <w:sz w:val="24"/>
          <w:szCs w:val="24"/>
        </w:rPr>
        <w:t xml:space="preserve">S tim u vezi, ponude dostavljenje po osnovu Javnog poziva za dostavljanje ponuda za dodjelu Ugovora o koncesiji za proizvodnju ugljovodonika u podmorju Crne Gore, koji je objavljen 7. avgusta 2013.godine u Službenom listu Crne Gore br 39/13, predstavljaju intelektualnu svojinu svakog ponuđača ponaosob, uključujući </w:t>
      </w:r>
      <w:r>
        <w:rPr>
          <w:rFonts w:ascii="Tahoma" w:hAnsi="Tahoma" w:cs="Tahoma"/>
          <w:sz w:val="24"/>
          <w:szCs w:val="24"/>
        </w:rPr>
        <w:t>i</w:t>
      </w:r>
      <w:r w:rsidRPr="007A7B9F">
        <w:rPr>
          <w:rFonts w:ascii="Tahoma" w:hAnsi="Tahoma" w:cs="Tahoma"/>
          <w:sz w:val="24"/>
          <w:szCs w:val="24"/>
        </w:rPr>
        <w:t xml:space="preserve"> ponuđača Energean Oil&amp;Gas, jer sublimiraju aplikaciju njihovih posebnih znanja iz oblasti geofizike, seizmike, geologije, geohemije i si., u cilju evaluacije prospektivnosti oblasti koje su ponuđene na Javnom pozivu. Ponude se smatraju zaštićenim djelima - intelektualnom svojinom, jer obuhvataju iskustvenu, naučnu i tehničku prezentaciju kritičnih faktora koji su vezani za evaluaciju oblasti koja je obuhvaćena tenderom, kao što su: petrogeološka analiza, opis prospektivnosti, korelacija bušotina, interpretacija seimzičkih sekcija, identifikaciju prospekata i lead-ova, evaluaciju prospekata, itd. Na osnovu navedenog, svaki ponuđač je ponudio jedinstveni radni program i predložio posebnu strategiju istraživanja, koji predstavljaju njegovu intelektualnu svojinu, i kao takvi se ne mogu objelodanjivati iz razloga zaštite konkure</w:t>
      </w:r>
      <w:r>
        <w:rPr>
          <w:rFonts w:ascii="Tahoma" w:hAnsi="Tahoma" w:cs="Tahoma"/>
          <w:sz w:val="24"/>
          <w:szCs w:val="24"/>
        </w:rPr>
        <w:t xml:space="preserve">ncije i poslovne tajne ponuđača </w:t>
      </w:r>
      <w:r w:rsidRPr="007A7B9F">
        <w:rPr>
          <w:rFonts w:ascii="Tahoma" w:hAnsi="Tahoma" w:cs="Tahoma"/>
          <w:sz w:val="24"/>
          <w:szCs w:val="24"/>
        </w:rPr>
        <w:t>Takođe, ponude sadrže podatke o finansijskim iskazima kompanija, tokovima kapitala i investicijama kompanija koje su povjerljivog karaktera jer utiču na buduće planove kompanija i njihovu konkurentnost na tržištu, kao i izvještaje i informacije o sistemima zaštite na radu i zaštite životne sredine, koji predstavljaju internu dokumentaciju ponuđača d</w:t>
      </w:r>
      <w:r>
        <w:rPr>
          <w:rFonts w:ascii="Tahoma" w:hAnsi="Tahoma" w:cs="Tahoma"/>
          <w:sz w:val="24"/>
          <w:szCs w:val="24"/>
        </w:rPr>
        <w:t xml:space="preserve">ostupnu na povjerljivoj osnovi. </w:t>
      </w:r>
      <w:r w:rsidRPr="007A7B9F">
        <w:rPr>
          <w:rFonts w:ascii="Tahoma" w:hAnsi="Tahoma" w:cs="Tahoma"/>
          <w:sz w:val="24"/>
          <w:szCs w:val="24"/>
        </w:rPr>
        <w:t>Stoga je evidentno da su se ispunili uslovi za ograničavanje pristupa informaciji definisani 14 stav 1 tačka 5 Zakona o slobodnom pristupu informacijama, jer se radi o podacima koji predstavljaju intelektualnu svojinu i poslovnu tajnu ponuđača, čijim objelodanjivanjem bi se ugrozio trgovinski i drugi ekonomski interesi ponuđača, što bi direktno uticalo na konk</w:t>
      </w:r>
      <w:r>
        <w:rPr>
          <w:rFonts w:ascii="Tahoma" w:hAnsi="Tahoma" w:cs="Tahoma"/>
          <w:sz w:val="24"/>
          <w:szCs w:val="24"/>
        </w:rPr>
        <w:t xml:space="preserve">urentnost kompanije na tržištu. </w:t>
      </w:r>
      <w:r w:rsidRPr="007A7B9F">
        <w:rPr>
          <w:rFonts w:ascii="Tahoma" w:hAnsi="Tahoma" w:cs="Tahoma"/>
          <w:sz w:val="24"/>
          <w:szCs w:val="24"/>
        </w:rPr>
        <w:t>U prilogu odbijanju zahtjeva NVO Mans stoji i činjenica da je tačkom 10. objavljenog Javnog poziva - Ostala pitanja koja se odnose na proces podnošenja ponude, definisano da će se povjerljivim poslovnim informacijama sadržanim u ponudi i prilozima postupati na povjerljiv način, u skladu sa zakonom, u roku od pet godina počev od dana odre</w:t>
      </w:r>
      <w:r>
        <w:rPr>
          <w:rFonts w:ascii="Tahoma" w:hAnsi="Tahoma" w:cs="Tahoma"/>
          <w:sz w:val="24"/>
          <w:szCs w:val="24"/>
        </w:rPr>
        <w:t xml:space="preserve">đenog za krajnji prijem </w:t>
      </w:r>
      <w:r>
        <w:rPr>
          <w:rFonts w:ascii="Tahoma" w:hAnsi="Tahoma" w:cs="Tahoma"/>
          <w:sz w:val="24"/>
          <w:szCs w:val="24"/>
        </w:rPr>
        <w:lastRenderedPageBreak/>
        <w:t xml:space="preserve">ponuda. </w:t>
      </w:r>
      <w:r w:rsidRPr="007A7B9F">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kompanija iz člana 14 stav 1 tačka 5 Zakona, na osnovu čega je zahtjev i odbijen, odnosno da interes javnosti da sazna navedenu informaciju ne može biti značajniji od evidente štete koja bi nastala na interesima koji se štite, ukoliko bi se tražene informacije objelodanile.</w:t>
      </w:r>
      <w:r>
        <w:rPr>
          <w:rFonts w:ascii="Tahoma" w:hAnsi="Tahoma" w:cs="Tahoma"/>
          <w:sz w:val="24"/>
          <w:szCs w:val="24"/>
        </w:rPr>
        <w:t xml:space="preserve"> </w:t>
      </w:r>
      <w:r w:rsidRPr="007A7B9F">
        <w:rPr>
          <w:rFonts w:ascii="Tahoma" w:hAnsi="Tahoma" w:cs="Tahoma"/>
          <w:sz w:val="24"/>
          <w:szCs w:val="24"/>
        </w:rPr>
        <w:t>Na osnovu izloženog, a u smislu člana 30 stav 1 Zakona o slobodnom pristupu informacijama, riješeno kao u dispozitiu rješenja.</w:t>
      </w:r>
      <w:r>
        <w:rPr>
          <w:rFonts w:ascii="Tahoma" w:hAnsi="Tahoma" w:cs="Tahoma"/>
          <w:sz w:val="24"/>
          <w:szCs w:val="24"/>
        </w:rPr>
        <w:t xml:space="preserve">  </w:t>
      </w:r>
    </w:p>
    <w:p w:rsidR="000F402A" w:rsidRDefault="000F402A" w:rsidP="000F402A">
      <w:pPr>
        <w:pStyle w:val="NoSpacing"/>
        <w:jc w:val="both"/>
        <w:rPr>
          <w:rFonts w:ascii="Tahoma" w:hAnsi="Tahoma" w:cs="Tahoma"/>
          <w:sz w:val="24"/>
          <w:szCs w:val="24"/>
        </w:rPr>
      </w:pPr>
    </w:p>
    <w:p w:rsidR="000F402A" w:rsidRDefault="000F402A" w:rsidP="000F402A">
      <w:pPr>
        <w:pStyle w:val="NoSpacing"/>
        <w:jc w:val="both"/>
        <w:rPr>
          <w:rFonts w:ascii="Tahoma" w:hAnsi="Tahoma" w:cs="Tahoma"/>
          <w:sz w:val="24"/>
          <w:szCs w:val="24"/>
        </w:rPr>
      </w:pPr>
      <w:r w:rsidRPr="00A120AF">
        <w:rPr>
          <w:rFonts w:ascii="Tahoma" w:hAnsi="Tahoma" w:cs="Tahoma"/>
          <w:sz w:val="24"/>
          <w:szCs w:val="24"/>
        </w:rPr>
        <w:t xml:space="preserve">Protiv ovog rješenja u zakonskom roku podnosilac zahtjeva je uložio žalbu. U istoj se u bitnom navodi da se rješenje pobija zbog povrede pravila postupka, nepotpuno i nepravilno utvrđenog činjeničnog stanja i pogrešne primjene materijalnog prava. </w:t>
      </w:r>
      <w:r w:rsidRPr="000C222B">
        <w:rPr>
          <w:rFonts w:ascii="Tahoma" w:hAnsi="Tahoma" w:cs="Tahoma"/>
          <w:sz w:val="24"/>
          <w:szCs w:val="24"/>
        </w:rPr>
        <w:t xml:space="preserve">Dana </w:t>
      </w:r>
      <w:r>
        <w:rPr>
          <w:rFonts w:ascii="Tahoma" w:hAnsi="Tahoma" w:cs="Tahoma"/>
          <w:sz w:val="24"/>
          <w:szCs w:val="24"/>
        </w:rPr>
        <w:t>16</w:t>
      </w:r>
      <w:r w:rsidRPr="000C222B">
        <w:rPr>
          <w:rFonts w:ascii="Tahoma" w:hAnsi="Tahoma" w:cs="Tahoma"/>
          <w:sz w:val="24"/>
          <w:szCs w:val="24"/>
        </w:rPr>
        <w:t>.</w:t>
      </w:r>
      <w:r>
        <w:rPr>
          <w:rFonts w:ascii="Tahoma" w:hAnsi="Tahoma" w:cs="Tahoma"/>
          <w:sz w:val="24"/>
          <w:szCs w:val="24"/>
        </w:rPr>
        <w:t xml:space="preserve"> marta </w:t>
      </w:r>
      <w:r w:rsidRPr="000C222B">
        <w:rPr>
          <w:rFonts w:ascii="Tahoma" w:hAnsi="Tahoma" w:cs="Tahoma"/>
          <w:sz w:val="24"/>
          <w:szCs w:val="24"/>
        </w:rPr>
        <w:t xml:space="preserve"> 201</w:t>
      </w:r>
      <w:r>
        <w:rPr>
          <w:rFonts w:ascii="Tahoma" w:hAnsi="Tahoma" w:cs="Tahoma"/>
          <w:sz w:val="24"/>
          <w:szCs w:val="24"/>
        </w:rPr>
        <w:t>7</w:t>
      </w:r>
      <w:r w:rsidRPr="000C222B">
        <w:rPr>
          <w:rFonts w:ascii="Tahoma" w:hAnsi="Tahoma" w:cs="Tahoma"/>
          <w:sz w:val="24"/>
          <w:szCs w:val="24"/>
        </w:rPr>
        <w:t xml:space="preserve">. godine </w:t>
      </w:r>
      <w:r w:rsidRPr="005C3221">
        <w:rPr>
          <w:rFonts w:ascii="Tahoma" w:hAnsi="Tahoma" w:cs="Tahoma"/>
          <w:sz w:val="24"/>
          <w:szCs w:val="24"/>
        </w:rPr>
        <w:t>Ministarstvo ekonomije žaliocu dostavlja rješenje broj: 004- 09/2017-2 od dana 15. marta 2017. godine koji</w:t>
      </w:r>
      <w:r>
        <w:rPr>
          <w:rFonts w:ascii="Tahoma" w:hAnsi="Tahoma" w:cs="Tahoma"/>
          <w:sz w:val="24"/>
          <w:szCs w:val="24"/>
        </w:rPr>
        <w:t>m odbija zahtjev kao neosnovan.</w:t>
      </w:r>
      <w:r w:rsidRPr="005C3221">
        <w:rPr>
          <w:rFonts w:ascii="Tahoma" w:hAnsi="Tahoma" w:cs="Tahoma"/>
          <w:sz w:val="24"/>
          <w:szCs w:val="24"/>
        </w:rPr>
        <w:t>U obrazloženju osporenog rješenja prvostepeni organ navodi da tražene informacije predstavljaju intelektualnu svojinu svakog ponuđača ponaosob, jer je svaki ponuđač ponudio jedinstveni radni program i predložio posebnu strategiju istraživanja koji predstavlja njegovu intelektualnu svojinu i kao takvi se ne mogu objelodanjivati iz razloga zaštite konkurencije i poslovne tajne ponuđača. Dalje ističe da ponude sadrže i podatke o finansijskim iskazima kompanija, tokovima kapitala i investicijama kompanija koje su povjerljivog karaktera jer utiču na buduće planove kompanija i nj</w:t>
      </w:r>
      <w:r>
        <w:rPr>
          <w:rFonts w:ascii="Tahoma" w:hAnsi="Tahoma" w:cs="Tahoma"/>
          <w:sz w:val="24"/>
          <w:szCs w:val="24"/>
        </w:rPr>
        <w:t xml:space="preserve">ihovu konkurentnost na tržištu. </w:t>
      </w:r>
      <w:r w:rsidRPr="005C3221">
        <w:rPr>
          <w:rFonts w:ascii="Tahoma" w:hAnsi="Tahoma" w:cs="Tahoma"/>
          <w:sz w:val="24"/>
          <w:szCs w:val="24"/>
        </w:rPr>
        <w:t>Shodno tome, poziva se na član 14 stav 1 tačka 5 Zakona o slobodnom pristupu informacijama, a ujedno ističe i da je tačkom 10 objavljenog Javnog poziva definisano da će se povjerljivim poslovnim informacijama sadržanim u ponudi i prilozima postupati na povjerljiv način u skladu sa zakonom u roku od pet godina počev od dana određenog za krajnji prijem ponuda. Najzad navodi da izvršio test štetnosti kojim je utvrdio da bi objelodanjivanje traženih informacija značajno ugrozilo interese kompanija iz gore navedenog člana i da interes javnosti da sazna informaciju ne može biti značajniji od evedentne štete koja bi nasta</w:t>
      </w:r>
      <w:r>
        <w:rPr>
          <w:rFonts w:ascii="Tahoma" w:hAnsi="Tahoma" w:cs="Tahoma"/>
          <w:sz w:val="24"/>
          <w:szCs w:val="24"/>
        </w:rPr>
        <w:t xml:space="preserve">la na interesima koji se štite. </w:t>
      </w:r>
      <w:r w:rsidRPr="005C3221">
        <w:rPr>
          <w:rFonts w:ascii="Tahoma" w:hAnsi="Tahoma" w:cs="Tahoma"/>
          <w:sz w:val="24"/>
          <w:szCs w:val="24"/>
        </w:rPr>
        <w:t>Žalilac osporava ovakav stav prvostepenog organa jer je isti neosnovan, nerazumljiv i zasnovan na pogrešnoj primjeni materijalnog prava zbog čega je nepotpuno i nepravilno utvrđeno činjenično stanje, te su prilikom donošenja isto</w:t>
      </w:r>
      <w:r>
        <w:rPr>
          <w:rFonts w:ascii="Tahoma" w:hAnsi="Tahoma" w:cs="Tahoma"/>
          <w:sz w:val="24"/>
          <w:szCs w:val="24"/>
        </w:rPr>
        <w:t xml:space="preserve">g povrijeđena pravila postupka. </w:t>
      </w:r>
      <w:r w:rsidRPr="005C3221">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Pr>
          <w:rFonts w:ascii="Tahoma" w:hAnsi="Tahoma" w:cs="Tahoma"/>
          <w:sz w:val="24"/>
          <w:szCs w:val="24"/>
        </w:rPr>
        <w:t xml:space="preserve">vanju vlasti od strane građana. </w:t>
      </w:r>
      <w:r w:rsidRPr="005C3221">
        <w:rPr>
          <w:rFonts w:ascii="Tahoma" w:hAnsi="Tahoma" w:cs="Tahoma"/>
          <w:sz w:val="24"/>
          <w:szCs w:val="24"/>
        </w:rPr>
        <w:t>Odredba člana 4 Zakona propisuje da se pristupom informacijama obezbjeđuje transparentnost rada, podstiče efikasnost, djelotvornost, odgovornost i afirmiše integrit</w:t>
      </w:r>
      <w:r>
        <w:rPr>
          <w:rFonts w:ascii="Tahoma" w:hAnsi="Tahoma" w:cs="Tahoma"/>
          <w:sz w:val="24"/>
          <w:szCs w:val="24"/>
        </w:rPr>
        <w:t xml:space="preserve">et i legitimnost organa vlasti. </w:t>
      </w:r>
      <w:r w:rsidRPr="005C3221">
        <w:rPr>
          <w:rFonts w:ascii="Tahoma" w:hAnsi="Tahoma" w:cs="Tahoma"/>
          <w:sz w:val="24"/>
          <w:szCs w:val="24"/>
        </w:rPr>
        <w:t>Odredba člana 5 Zakona propisuje da se pristupom informacijama obezbjeđuje da javnost zna informacije koje su u posjedu organa vlasti, u cilju vršenja demokratske kontrole vlasti i ostvari</w:t>
      </w:r>
      <w:r>
        <w:rPr>
          <w:rFonts w:ascii="Tahoma" w:hAnsi="Tahoma" w:cs="Tahoma"/>
          <w:sz w:val="24"/>
          <w:szCs w:val="24"/>
        </w:rPr>
        <w:t xml:space="preserve">vanja ljudskih prava </w:t>
      </w:r>
      <w:r>
        <w:rPr>
          <w:rFonts w:ascii="Tahoma" w:hAnsi="Tahoma" w:cs="Tahoma"/>
          <w:sz w:val="24"/>
          <w:szCs w:val="24"/>
        </w:rPr>
        <w:lastRenderedPageBreak/>
        <w:t xml:space="preserve">i sloboda. </w:t>
      </w:r>
      <w:r w:rsidRPr="005C3221">
        <w:rPr>
          <w:rFonts w:ascii="Tahoma" w:hAnsi="Tahoma" w:cs="Tahoma"/>
          <w:sz w:val="24"/>
          <w:szCs w:val="24"/>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Pr>
          <w:rFonts w:ascii="Tahoma" w:hAnsi="Tahoma" w:cs="Tahoma"/>
          <w:sz w:val="24"/>
          <w:szCs w:val="24"/>
        </w:rPr>
        <w:t xml:space="preserve">eresa, izuzmu od objavljivanja. </w:t>
      </w:r>
      <w:r w:rsidRPr="005C3221">
        <w:rPr>
          <w:rFonts w:ascii="Tahoma" w:hAnsi="Tahoma" w:cs="Tahoma"/>
          <w:sz w:val="24"/>
          <w:szCs w:val="24"/>
        </w:rPr>
        <w:t>Članom 13 istog zakona određeno je da je organ vlasti dužan da fizičkom i pravnom licu koje traži pristup informaciji omogući pristup informaciji ili njenom dijelu, osim u slučaj</w:t>
      </w:r>
      <w:r>
        <w:rPr>
          <w:rFonts w:ascii="Tahoma" w:hAnsi="Tahoma" w:cs="Tahoma"/>
          <w:sz w:val="24"/>
          <w:szCs w:val="24"/>
        </w:rPr>
        <w:t xml:space="preserve">evima predviđenim ovim zakonom. </w:t>
      </w:r>
      <w:r w:rsidRPr="005C3221">
        <w:rPr>
          <w:rFonts w:ascii="Tahoma" w:hAnsi="Tahoma" w:cs="Tahoma"/>
          <w:sz w:val="24"/>
          <w:szCs w:val="24"/>
        </w:rPr>
        <w:t xml:space="preserve">Odredba člana 14 stav 1 tačka 5 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donešeno uz primjenu norme koja nije primjenjiva u ovom slučaju, jer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 Iz obrazloženja osporenog rješenja nije jasno na koji način bi se mogle tražene informacije dovesti u vezu sa bilo kojim od navedenih prava intelektualne svojine, pa žalilac smatra da je ovakvo postupanje prvostepenog organa u osporenom dijelu </w:t>
      </w:r>
      <w:r>
        <w:rPr>
          <w:rFonts w:ascii="Tahoma" w:hAnsi="Tahoma" w:cs="Tahoma"/>
          <w:sz w:val="24"/>
          <w:szCs w:val="24"/>
        </w:rPr>
        <w:t xml:space="preserve">rješenja u cjelosti neosnovano. </w:t>
      </w:r>
      <w:r w:rsidRPr="005C3221">
        <w:rPr>
          <w:rFonts w:ascii="Tahoma" w:hAnsi="Tahoma" w:cs="Tahoma"/>
          <w:sz w:val="24"/>
          <w:szCs w:val="24"/>
        </w:rPr>
        <w:t>Shodno tome, žalilac smatra da se, time što će se njemu omogućiti pristup traženim informacijama ne ugrožavaju interesi navedeni u gore citiranom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w:t>
      </w:r>
      <w:r>
        <w:rPr>
          <w:rFonts w:ascii="Tahoma" w:hAnsi="Tahoma" w:cs="Tahoma"/>
          <w:sz w:val="24"/>
          <w:szCs w:val="24"/>
        </w:rPr>
        <w:t xml:space="preserve">i pravom intelektualne svojine. </w:t>
      </w:r>
      <w:r w:rsidRPr="005C3221">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pravlinu primjenu navedene zakonske odredbe. Iz osporenog rješenja nije jasno koji interesi bi bili ugroženi objelodanjivanjem traženih informacija, niti na koji način bi isti bili ugroženi, pa je osporeno Rješenje nerazumljivo i bez valjanih razloga koji bi upućivali na odluku kakva je data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neosnovanim navodima da se radi o informacijama koje su intelektualna svojina, jer takva činjenica sama po sebi nema pravno dejstvo već je potrebno da se ista dovede u vezu sa interesom koji bi se ugrozio njenim objelodanjivanjem, što u k</w:t>
      </w:r>
      <w:r>
        <w:rPr>
          <w:rFonts w:ascii="Tahoma" w:hAnsi="Tahoma" w:cs="Tahoma"/>
          <w:sz w:val="24"/>
          <w:szCs w:val="24"/>
        </w:rPr>
        <w:t xml:space="preserve">onkretnom slučaju nije urađeno. </w:t>
      </w:r>
      <w:r w:rsidRPr="005C3221">
        <w:rPr>
          <w:rFonts w:ascii="Tahoma" w:hAnsi="Tahoma" w:cs="Tahoma"/>
          <w:sz w:val="24"/>
          <w:szCs w:val="24"/>
        </w:rPr>
        <w:t xml:space="preserve">Takođe, prvostepeni organ navodi da tražene informacije sadrže podatke o finansijskim </w:t>
      </w:r>
      <w:r w:rsidRPr="005C3221">
        <w:rPr>
          <w:rFonts w:ascii="Tahoma" w:hAnsi="Tahoma" w:cs="Tahoma"/>
          <w:sz w:val="24"/>
          <w:szCs w:val="24"/>
        </w:rPr>
        <w:lastRenderedPageBreak/>
        <w:t>iskazima kompanija, tokovima kapitala i investicijama kompanija koje su povjerljivog karaktera, te da predstavljaju internu dokumentaciju ponuđača dostupnu na povjeljivoj osnovi. Prema tome, rješenje je nerazumljivo jer je u obrazloženju istog navedeno više međusobno različitih interesa, koji se ne mogu dovesti u vezu ni sa pravnim propisima na koje se ovaj organ poziva. S tim u vezi, žalilac ukazuje na to da nije od značaja tačka 10 Javnog poziv</w:t>
      </w:r>
      <w:r>
        <w:rPr>
          <w:rFonts w:ascii="Tahoma" w:hAnsi="Tahoma" w:cs="Tahoma"/>
          <w:sz w:val="24"/>
          <w:szCs w:val="24"/>
        </w:rPr>
        <w:t xml:space="preserve">a na koju se ovaj organ poziva. </w:t>
      </w:r>
      <w:r w:rsidRPr="005C3221">
        <w:rPr>
          <w:rFonts w:ascii="Tahoma" w:hAnsi="Tahoma" w:cs="Tahoma"/>
          <w:sz w:val="24"/>
          <w:szCs w:val="24"/>
        </w:rPr>
        <w:t>Dalje, prvostepeni organ nije cijenio prevashodni interes javnosti u konkretnom slučaju, pa je paušalnim navodima ograničio pristup traženim informacijama i stavio lični interes ispred javnog interesa, pri tom ne navodeći o kom interesu je riječ i paušalno se pozivajući na član 14 Zakona o slobodnom pristupu informacijama. Naime, kako je u pitanju projekat koji je od javnog značaja, te koji se finansira iz budžetskih sredstava, interes građana da budu upoznati sa svim pojedinostima istog je nesporan i od većeg značaja u odnosu na bilo koji drugi interes. Prema tome, ni jedan od navedenih interesa ne može se staviti ispred interesa javnosti da zna tražene infomacije, jer je interes građana nesporan i od večeg značaja u odnosu na iste. Stoga, objelodanjivanje traženih informacija, prema mišljenju žalioca, ni na koji način ne bi moglo ugroziti ni jedan od navedenih interesa, već takvim postupanjem može biti ugrožen samo interes javnosti koji je od pretežno</w:t>
      </w:r>
      <w:r>
        <w:rPr>
          <w:rFonts w:ascii="Tahoma" w:hAnsi="Tahoma" w:cs="Tahoma"/>
          <w:sz w:val="24"/>
          <w:szCs w:val="24"/>
        </w:rPr>
        <w:t xml:space="preserve">g značaja u konkretnom slučaju. </w:t>
      </w:r>
      <w:r w:rsidRPr="005C3221">
        <w:rPr>
          <w:rFonts w:ascii="Tahoma" w:hAnsi="Tahoma" w:cs="Tahoma"/>
          <w:sz w:val="24"/>
          <w:szCs w:val="24"/>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pa se navodi o izvršenju istog ne mogu smatrati relevantnim. Osim toga, žalilac je mišljenja da bi se pravilnim sprovođenjem testa štetnosti došlo do zaključka da se objelodanjivanjem traženih informacija ne može ugroziti ni jedan od međusobno protivrječnih interesa, te da je interes javnosti od preteđnog značaja. Međutim, prvostepeni organ ne pruža materijalne dokaze da je test štetnosti sproveden zbog čega nije moguć</w:t>
      </w:r>
      <w:r>
        <w:rPr>
          <w:rFonts w:ascii="Tahoma" w:hAnsi="Tahoma" w:cs="Tahoma"/>
          <w:sz w:val="24"/>
          <w:szCs w:val="24"/>
        </w:rPr>
        <w:t xml:space="preserve">e utvrditit njegovu zakonitost. </w:t>
      </w:r>
      <w:r w:rsidRPr="005C3221">
        <w:rPr>
          <w:rFonts w:ascii="Tahoma" w:hAnsi="Tahoma" w:cs="Tahoma"/>
          <w:sz w:val="24"/>
          <w:szCs w:val="24"/>
        </w:rPr>
        <w:t>Takođe, sve i da traženim informacijama pristup može biti ograničen u cilju zaštite nekog od navedenih interesa, prema mišljenju žalioca nije moguće da se ograniči pristup kompletnoj traženoj informaciji. Dakle,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w:t>
      </w:r>
      <w:r>
        <w:rPr>
          <w:rFonts w:ascii="Tahoma" w:hAnsi="Tahoma" w:cs="Tahoma"/>
          <w:sz w:val="24"/>
          <w:szCs w:val="24"/>
        </w:rPr>
        <w:t xml:space="preserve">ije kojem je pristup ograničen. </w:t>
      </w:r>
      <w:r w:rsidRPr="005C3221">
        <w:rPr>
          <w:rFonts w:ascii="Tahoma" w:hAnsi="Tahoma" w:cs="Tahoma"/>
          <w:sz w:val="24"/>
          <w:szCs w:val="24"/>
        </w:rPr>
        <w:t xml:space="preserve">Na osnovu svega navedenog žalilac zaključuje da tražene informacije ne mogu biti u cjelosti povjerljive, jer postoji preovlađujuči interes javnosti da bude upoznata sa načinom realizacijom projekta koji se finansira iz javnih prihoda. Navedeno pravo garantovano je u odredbom člana 51 stav 1 Ustava Crne Gore kojom se propisuje da svako ima </w:t>
      </w:r>
      <w:r w:rsidRPr="005C3221">
        <w:rPr>
          <w:rFonts w:ascii="Tahoma" w:hAnsi="Tahoma" w:cs="Tahoma"/>
          <w:sz w:val="24"/>
          <w:szCs w:val="24"/>
        </w:rPr>
        <w:lastRenderedPageBreak/>
        <w:t>pravo pristupa informacijama u posjedu državnih organa i organizac</w:t>
      </w:r>
      <w:r>
        <w:rPr>
          <w:rFonts w:ascii="Tahoma" w:hAnsi="Tahoma" w:cs="Tahoma"/>
          <w:sz w:val="24"/>
          <w:szCs w:val="24"/>
        </w:rPr>
        <w:t xml:space="preserve">ija koje vrše javna ovlašćenja. </w:t>
      </w:r>
      <w:r w:rsidRPr="005C322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Pr>
          <w:rFonts w:ascii="Tahoma" w:hAnsi="Tahoma" w:cs="Tahoma"/>
          <w:sz w:val="24"/>
          <w:szCs w:val="24"/>
        </w:rPr>
        <w:t xml:space="preserve">je kakvo je dato u dispozitivu. </w:t>
      </w:r>
      <w:r w:rsidRPr="005C322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Pr>
          <w:rFonts w:ascii="Tahoma" w:hAnsi="Tahoma" w:cs="Tahoma"/>
          <w:sz w:val="24"/>
          <w:szCs w:val="24"/>
        </w:rPr>
        <w:t xml:space="preserve">nitosti i pravilnosti rješenja. </w:t>
      </w:r>
      <w:r w:rsidRPr="005C3221">
        <w:rPr>
          <w:rFonts w:ascii="Tahoma" w:hAnsi="Tahoma" w:cs="Tahoma"/>
          <w:sz w:val="24"/>
          <w:szCs w:val="24"/>
        </w:rPr>
        <w:t>S obzirom da je donošenjem rješenja prvostepenog organa povrijeđen zakon na njegovu štetu, žalilac blagovremeno izjavljuje žalbu i</w:t>
      </w:r>
      <w:r>
        <w:rPr>
          <w:rFonts w:ascii="Tahoma" w:hAnsi="Tahoma" w:cs="Tahoma"/>
          <w:sz w:val="24"/>
          <w:szCs w:val="24"/>
        </w:rPr>
        <w:t xml:space="preserve"> predlaže da poništi rješenje Ministarstva ekonomije broj 004-09/2017-2 od 15 marta 2017.godine .</w:t>
      </w:r>
    </w:p>
    <w:p w:rsidR="000F402A" w:rsidRDefault="000F402A" w:rsidP="000F402A">
      <w:pPr>
        <w:pStyle w:val="NoSpacing"/>
        <w:jc w:val="both"/>
        <w:rPr>
          <w:rFonts w:ascii="Tahoma" w:hAnsi="Tahoma" w:cs="Tahoma"/>
          <w:sz w:val="24"/>
          <w:szCs w:val="24"/>
        </w:rPr>
      </w:pPr>
    </w:p>
    <w:p w:rsidR="000F402A" w:rsidRDefault="000F402A" w:rsidP="000F402A">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w:t>
      </w:r>
      <w:r w:rsidRPr="0015086A">
        <w:rPr>
          <w:rFonts w:ascii="Tahoma" w:hAnsi="Tahoma" w:cs="Tahoma"/>
          <w:sz w:val="24"/>
          <w:szCs w:val="24"/>
        </w:rPr>
        <w:t>N</w:t>
      </w:r>
      <w:r>
        <w:rPr>
          <w:rFonts w:ascii="Tahoma" w:hAnsi="Tahoma" w:cs="Tahoma"/>
          <w:sz w:val="24"/>
          <w:szCs w:val="24"/>
        </w:rPr>
        <w:t>akon razmatranja spisa predmeta i</w:t>
      </w:r>
      <w:r w:rsidRPr="0015086A">
        <w:rPr>
          <w:rFonts w:ascii="Tahoma" w:hAnsi="Tahoma" w:cs="Tahoma"/>
          <w:sz w:val="24"/>
          <w:szCs w:val="24"/>
        </w:rPr>
        <w:t xml:space="preserve"> žalbenih navoda, </w:t>
      </w:r>
      <w:r>
        <w:rPr>
          <w:rFonts w:ascii="Tahoma" w:hAnsi="Tahoma" w:cs="Tahoma"/>
          <w:sz w:val="24"/>
          <w:szCs w:val="24"/>
        </w:rPr>
        <w:t>a postupajući po presudi Upravnog suda U.br. 5118/2017 od 28.06.2018</w:t>
      </w:r>
      <w:r w:rsidRPr="0015086A">
        <w:rPr>
          <w:rFonts w:ascii="Tahoma" w:hAnsi="Tahoma" w:cs="Tahoma"/>
          <w:sz w:val="24"/>
          <w:szCs w:val="24"/>
        </w:rPr>
        <w:t>. godine Savjet Agencije nalazi da je žalba osnovana</w:t>
      </w:r>
      <w:r>
        <w:rPr>
          <w:rFonts w:ascii="Tahoma" w:hAnsi="Tahoma" w:cs="Tahoma"/>
          <w:sz w:val="24"/>
          <w:szCs w:val="24"/>
        </w:rPr>
        <w:t>.</w:t>
      </w:r>
    </w:p>
    <w:p w:rsidR="00D84EDA" w:rsidRDefault="000F402A" w:rsidP="00BE4002">
      <w:pPr>
        <w:jc w:val="both"/>
        <w:rPr>
          <w:rFonts w:ascii="Tahoma" w:hAnsi="Tahoma" w:cs="Tahoma"/>
          <w:sz w:val="24"/>
          <w:szCs w:val="24"/>
        </w:rPr>
      </w:pPr>
      <w:r>
        <w:rPr>
          <w:rFonts w:ascii="Tahoma" w:hAnsi="Tahoma" w:cs="Tahoma"/>
          <w:sz w:val="24"/>
          <w:szCs w:val="24"/>
        </w:rPr>
        <w:t xml:space="preserve">     </w:t>
      </w:r>
      <w:r w:rsidRPr="008E497A">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sidRPr="008A7156">
        <w:rPr>
          <w:rFonts w:ascii="Tahoma" w:hAnsi="Tahoma" w:cs="Tahoma"/>
          <w:sz w:val="24"/>
          <w:szCs w:val="24"/>
        </w:rPr>
        <w:t xml:space="preserve"> </w:t>
      </w:r>
      <w:r w:rsidRPr="008E497A">
        <w:rPr>
          <w:rFonts w:ascii="Tahoma" w:hAnsi="Tahoma" w:cs="Tahoma"/>
          <w:sz w:val="24"/>
          <w:szCs w:val="24"/>
        </w:rPr>
        <w:t xml:space="preserve">Savjet Agencije je postupajući po presudi Upravnog suda u postupku preispitivanja utvrdio da je </w:t>
      </w:r>
      <w:r>
        <w:rPr>
          <w:rFonts w:ascii="Tahoma" w:hAnsi="Tahoma" w:cs="Tahoma"/>
          <w:sz w:val="24"/>
          <w:szCs w:val="24"/>
        </w:rPr>
        <w:t>obrazloženje suprotni odredbi 203 stav 2 Zakona o opštem upravnom postupku, kojom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Pr="008A7156">
        <w:rPr>
          <w:rFonts w:ascii="Tahoma" w:hAnsi="Tahoma" w:cs="Tahoma"/>
          <w:sz w:val="24"/>
          <w:szCs w:val="24"/>
        </w:rPr>
        <w:t>, jer se iz datih razloga u obrazloženju ne može zaključiti da je predmetna stvar riješena na pravilan način.</w:t>
      </w:r>
      <w:r>
        <w:rPr>
          <w:rFonts w:ascii="Tahoma" w:hAnsi="Tahoma" w:cs="Tahoma"/>
          <w:sz w:val="24"/>
          <w:szCs w:val="24"/>
        </w:rPr>
        <w:t xml:space="preserve"> Naime,</w:t>
      </w:r>
      <w:r w:rsidRPr="0039282F">
        <w:rPr>
          <w:rFonts w:ascii="Tahoma" w:hAnsi="Tahoma" w:cs="Tahoma"/>
          <w:sz w:val="24"/>
          <w:szCs w:val="24"/>
        </w:rPr>
        <w:t xml:space="preserve"> </w:t>
      </w:r>
      <w:r>
        <w:rPr>
          <w:rFonts w:ascii="Tahoma" w:hAnsi="Tahoma" w:cs="Tahoma"/>
          <w:sz w:val="24"/>
          <w:szCs w:val="24"/>
        </w:rPr>
        <w:t>s</w:t>
      </w:r>
      <w:r w:rsidRPr="0039282F">
        <w:rPr>
          <w:rFonts w:ascii="Tahoma" w:hAnsi="Tahoma" w:cs="Tahoma"/>
          <w:sz w:val="24"/>
          <w:szCs w:val="24"/>
        </w:rPr>
        <w:t xml:space="preserve">amo navođenje </w:t>
      </w:r>
      <w:r>
        <w:rPr>
          <w:rFonts w:ascii="Tahoma" w:hAnsi="Tahoma" w:cs="Tahoma"/>
          <w:sz w:val="24"/>
          <w:szCs w:val="24"/>
        </w:rPr>
        <w:t>da su informacije</w:t>
      </w:r>
      <w:r w:rsidRPr="0039282F">
        <w:rPr>
          <w:rFonts w:ascii="Tahoma" w:hAnsi="Tahoma" w:cs="Tahoma"/>
          <w:sz w:val="24"/>
          <w:szCs w:val="24"/>
        </w:rPr>
        <w:t xml:space="preserve"> tražene zahtjevom </w:t>
      </w:r>
      <w:r>
        <w:rPr>
          <w:rFonts w:ascii="Tahoma" w:hAnsi="Tahoma" w:cs="Tahoma"/>
          <w:sz w:val="24"/>
          <w:szCs w:val="24"/>
        </w:rPr>
        <w:t>i to</w:t>
      </w:r>
      <w:r>
        <w:rPr>
          <w:rFonts w:ascii="Tahoma" w:hAnsi="Tahoma" w:cs="Tahoma"/>
          <w:sz w:val="24"/>
          <w:szCs w:val="24"/>
          <w:lang w:val="en-US"/>
        </w:rPr>
        <w:t xml:space="preserve">: </w:t>
      </w:r>
      <w:proofErr w:type="spellStart"/>
      <w:r>
        <w:rPr>
          <w:rFonts w:ascii="Tahoma" w:hAnsi="Tahoma" w:cs="Tahoma"/>
          <w:sz w:val="24"/>
          <w:szCs w:val="24"/>
          <w:lang w:val="en-US"/>
        </w:rPr>
        <w:t>kopije</w:t>
      </w:r>
      <w:proofErr w:type="spellEnd"/>
      <w:r>
        <w:rPr>
          <w:rFonts w:ascii="Tahoma" w:hAnsi="Tahoma" w:cs="Tahoma"/>
          <w:sz w:val="24"/>
          <w:szCs w:val="24"/>
          <w:lang w:val="en-US"/>
        </w:rPr>
        <w:t xml:space="preserve"> </w:t>
      </w:r>
      <w:r w:rsidRPr="0017382D">
        <w:rPr>
          <w:rFonts w:ascii="Tahoma" w:hAnsi="Tahoma" w:cs="Tahoma"/>
          <w:sz w:val="24"/>
          <w:szCs w:val="24"/>
        </w:rPr>
        <w:t>ugovora o koncesiji za proizvodnju ugljovodonika u podmorju Crne Gore za blokove 4219-26 i 4218-30 sa pripadajućim aneksima, koje je Ministarstvo ekonomije u ime Vlade Crne Gore zaključilo sa kompanijom Energan Oil&amp;Gas</w:t>
      </w:r>
      <w:r>
        <w:rPr>
          <w:rFonts w:ascii="Tahoma" w:hAnsi="Tahoma" w:cs="Tahoma"/>
          <w:sz w:val="24"/>
          <w:szCs w:val="24"/>
        </w:rPr>
        <w:t xml:space="preserve"> i </w:t>
      </w:r>
      <w:r w:rsidRPr="0017382D">
        <w:rPr>
          <w:rFonts w:ascii="Tahoma" w:hAnsi="Tahoma" w:cs="Tahoma"/>
          <w:sz w:val="24"/>
          <w:szCs w:val="24"/>
        </w:rPr>
        <w:t>kompletnu dokumentaciju koju je kompanija Energan Oil&amp;Gas dostavila Ministarstvu ekonomije, a koja je predhodila zaključenju ugovora o koncesiji za proizvodnju ugljovodonika u podmorju Crne Gore za blokove 4219-26 i 4218-30</w:t>
      </w:r>
      <w:r>
        <w:rPr>
          <w:rFonts w:ascii="Tahoma" w:hAnsi="Tahoma" w:cs="Tahoma"/>
          <w:sz w:val="24"/>
          <w:szCs w:val="24"/>
        </w:rPr>
        <w:t xml:space="preserve">, odnosi na zaštitu prava </w:t>
      </w:r>
    </w:p>
    <w:p w:rsidR="00D84EDA" w:rsidRDefault="00D84EDA" w:rsidP="00BE4002">
      <w:pPr>
        <w:jc w:val="both"/>
        <w:rPr>
          <w:rFonts w:ascii="Tahoma" w:hAnsi="Tahoma" w:cs="Tahoma"/>
          <w:sz w:val="24"/>
          <w:szCs w:val="24"/>
        </w:rPr>
      </w:pPr>
    </w:p>
    <w:p w:rsidR="00D84EDA" w:rsidRDefault="00D84EDA" w:rsidP="00BE4002">
      <w:pPr>
        <w:jc w:val="both"/>
        <w:rPr>
          <w:rFonts w:ascii="Tahoma" w:hAnsi="Tahoma" w:cs="Tahoma"/>
          <w:sz w:val="24"/>
          <w:szCs w:val="24"/>
        </w:rPr>
      </w:pPr>
    </w:p>
    <w:p w:rsidR="00BE4002" w:rsidRPr="001C7423" w:rsidRDefault="000F402A" w:rsidP="00BE4002">
      <w:pPr>
        <w:jc w:val="both"/>
        <w:rPr>
          <w:rFonts w:ascii="Tahoma" w:hAnsi="Tahoma" w:cs="Tahoma"/>
          <w:color w:val="000000"/>
          <w:sz w:val="24"/>
          <w:szCs w:val="24"/>
          <w:lang w:val="hr-HR"/>
        </w:rPr>
      </w:pPr>
      <w:r>
        <w:rPr>
          <w:rFonts w:ascii="Tahoma" w:hAnsi="Tahoma" w:cs="Tahoma"/>
          <w:sz w:val="24"/>
          <w:szCs w:val="24"/>
        </w:rPr>
        <w:t xml:space="preserve">intelektualne svojene, </w:t>
      </w:r>
      <w:proofErr w:type="spellStart"/>
      <w:r>
        <w:rPr>
          <w:rFonts w:ascii="Tahoma" w:hAnsi="Tahoma" w:cs="Tahoma"/>
          <w:sz w:val="24"/>
          <w:szCs w:val="24"/>
          <w:lang w:val="en-US"/>
        </w:rPr>
        <w:t>jer</w:t>
      </w:r>
      <w:proofErr w:type="spellEnd"/>
      <w:r>
        <w:t xml:space="preserve">  </w:t>
      </w:r>
      <w:r w:rsidRPr="00AF22D3">
        <w:rPr>
          <w:rFonts w:ascii="Tahoma" w:hAnsi="Tahoma" w:cs="Tahoma"/>
          <w:sz w:val="24"/>
          <w:szCs w:val="24"/>
        </w:rPr>
        <w:t xml:space="preserve">se ne može zaključiti o kojem zaštićenom interesu se tačno radi, jer za dostavljanje kopija ugovora o koncesiji i ostale prateće dokumentacije, koji su traženi predmetnim zahtjevom, nije jasan način objašnjeno od strane prvostepenog organa na koji način bi se, objelodanjivanjem sadržine traženih ugovora, ugrozili interesi, odnosno intelektualna svojina kompanije koja je vršila proizvodnju ugljovodonika u podmorju Crne Gore. </w:t>
      </w:r>
      <w:r>
        <w:rPr>
          <w:rFonts w:ascii="Tahoma" w:hAnsi="Tahoma" w:cs="Tahoma"/>
          <w:sz w:val="24"/>
          <w:szCs w:val="24"/>
        </w:rPr>
        <w:t>Naime</w:t>
      </w:r>
      <w:r w:rsidRPr="005C3221">
        <w:rPr>
          <w:rFonts w:ascii="Tahoma" w:hAnsi="Tahoma" w:cs="Tahoma"/>
          <w:sz w:val="24"/>
          <w:szCs w:val="24"/>
        </w:rPr>
        <w:t xml:space="preserve">, sve i da traženim informacijama pristup može biti ograničen u cilju zaštite nekog od navedenih interesa, </w:t>
      </w:r>
      <w:r>
        <w:rPr>
          <w:rFonts w:ascii="Tahoma" w:hAnsi="Tahoma" w:cs="Tahoma"/>
          <w:sz w:val="24"/>
          <w:szCs w:val="24"/>
        </w:rPr>
        <w:t>ukoliko je bilo osnova ogranićiti pristup informacijama  u skladu sa članom 16 Zakona o slobodnom pristupu informacijama, sprovesti test štetnosti, a ukoliko tražene informaciie podliježu ograničenju,</w:t>
      </w:r>
      <w:r w:rsidR="00826CE5">
        <w:rPr>
          <w:rFonts w:ascii="Tahoma" w:hAnsi="Tahoma" w:cs="Tahoma"/>
          <w:sz w:val="24"/>
          <w:szCs w:val="24"/>
        </w:rPr>
        <w:t xml:space="preserve"> </w:t>
      </w:r>
      <w:r>
        <w:rPr>
          <w:rFonts w:ascii="Tahoma" w:hAnsi="Tahoma" w:cs="Tahoma"/>
          <w:sz w:val="24"/>
          <w:szCs w:val="24"/>
        </w:rPr>
        <w:t xml:space="preserve">potrebno je primijeniti odredbu člana 24 Zakona o slobodnom pristupu informacijama. </w:t>
      </w:r>
      <w:r w:rsidRPr="005C3221">
        <w:rPr>
          <w:rFonts w:ascii="Tahoma" w:hAnsi="Tahoma" w:cs="Tahoma"/>
          <w:sz w:val="24"/>
          <w:szCs w:val="24"/>
        </w:rPr>
        <w:t xml:space="preserve"> Dakle,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w:t>
      </w:r>
      <w:r>
        <w:rPr>
          <w:rFonts w:ascii="Tahoma" w:hAnsi="Tahoma" w:cs="Tahoma"/>
          <w:sz w:val="24"/>
          <w:szCs w:val="24"/>
        </w:rPr>
        <w:t>ije kojem je pristup ograničen.</w:t>
      </w:r>
      <w:r w:rsidRPr="00AF5CB0">
        <w:rPr>
          <w:rFonts w:ascii="Tahoma" w:hAnsi="Tahoma" w:cs="Tahoma"/>
          <w:sz w:val="24"/>
          <w:szCs w:val="24"/>
        </w:rPr>
        <w:t xml:space="preserve"> </w:t>
      </w:r>
      <w:r>
        <w:rPr>
          <w:rFonts w:ascii="Tahoma" w:hAnsi="Tahoma" w:cs="Tahoma"/>
          <w:sz w:val="24"/>
          <w:szCs w:val="24"/>
        </w:rPr>
        <w:t>Cilj</w:t>
      </w:r>
      <w:r w:rsidRPr="005C3221">
        <w:rPr>
          <w:rFonts w:ascii="Tahoma" w:hAnsi="Tahoma" w:cs="Tahoma"/>
          <w:sz w:val="24"/>
          <w:szCs w:val="24"/>
        </w:rPr>
        <w:t xml:space="preserve">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Pr>
          <w:rFonts w:ascii="Tahoma" w:hAnsi="Tahoma" w:cs="Tahoma"/>
          <w:sz w:val="24"/>
          <w:szCs w:val="24"/>
        </w:rPr>
        <w:t xml:space="preserve">vanju vlasti od strane građana </w:t>
      </w:r>
      <w:r w:rsidR="00814EEE">
        <w:rPr>
          <w:rFonts w:ascii="Tahoma" w:hAnsi="Tahoma" w:cs="Tahoma"/>
          <w:sz w:val="24"/>
          <w:szCs w:val="24"/>
        </w:rPr>
        <w:t>.</w:t>
      </w:r>
      <w:r w:rsidR="00BE4002" w:rsidRPr="00BE4002">
        <w:rPr>
          <w:rFonts w:ascii="Tahoma" w:hAnsi="Tahoma" w:cs="Tahoma"/>
          <w:sz w:val="24"/>
          <w:szCs w:val="24"/>
        </w:rPr>
        <w:t xml:space="preserve"> </w:t>
      </w:r>
      <w:r w:rsidR="00BE4002" w:rsidRPr="001C7423">
        <w:rPr>
          <w:rFonts w:ascii="Tahoma" w:hAnsi="Tahoma" w:cs="Tahoma"/>
          <w:sz w:val="24"/>
          <w:szCs w:val="24"/>
        </w:rPr>
        <w:t>Savjet Agencije je cijeneći navode presude i žalbe utvrdio da je žalba osnovana, pa je ista usvojena, a prvostepeni organ je dužan da u ponovnom postupku u roku od 20 dana od dana prijema rješenja donese zakonito rješenje u kojem će pravilno primijeniti član</w:t>
      </w:r>
      <w:r w:rsidR="00642376">
        <w:rPr>
          <w:rFonts w:ascii="Tahoma" w:hAnsi="Tahoma" w:cs="Tahoma"/>
          <w:sz w:val="24"/>
          <w:szCs w:val="24"/>
        </w:rPr>
        <w:t xml:space="preserve"> 14 stav 1 tačka 5 , 15 , 16 i</w:t>
      </w:r>
      <w:r w:rsidR="00BE4002" w:rsidRPr="001C7423">
        <w:rPr>
          <w:rFonts w:ascii="Tahoma" w:hAnsi="Tahoma" w:cs="Tahoma"/>
          <w:sz w:val="24"/>
          <w:szCs w:val="24"/>
        </w:rPr>
        <w:t xml:space="preserve"> </w:t>
      </w:r>
      <w:r w:rsidR="00642376">
        <w:rPr>
          <w:rFonts w:ascii="Tahoma" w:hAnsi="Tahoma" w:cs="Tahoma"/>
          <w:sz w:val="24"/>
          <w:szCs w:val="24"/>
        </w:rPr>
        <w:t xml:space="preserve">29 stav 1 tačka 3 </w:t>
      </w:r>
      <w:r w:rsidR="00BE4002" w:rsidRPr="001C7423">
        <w:rPr>
          <w:rFonts w:ascii="Tahoma" w:hAnsi="Tahoma" w:cs="Tahoma"/>
          <w:sz w:val="24"/>
          <w:szCs w:val="24"/>
        </w:rPr>
        <w:t>Zakona o slobodnom pristupu informacijama. Na osnovu člana 237 stav 2 Zakona o opštem upravnom postupku je poništeno prvostepeno rješenje, a predmet se zbog prirode upravne stvari dostavlja na ponovni postupak prvostepenom organu.</w:t>
      </w:r>
      <w:r w:rsidR="00BE4002" w:rsidRPr="001C7423">
        <w:rPr>
          <w:rFonts w:ascii="Tahoma" w:hAnsi="Tahoma" w:cs="Tahoma"/>
          <w:sz w:val="24"/>
          <w:szCs w:val="24"/>
          <w:lang w:val="sr-Latn-CS"/>
        </w:rPr>
        <w:t xml:space="preserve"> </w:t>
      </w:r>
    </w:p>
    <w:p w:rsidR="000F402A" w:rsidRPr="00795009" w:rsidRDefault="00BE4002" w:rsidP="00795009">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w:t>
      </w:r>
      <w:r w:rsidR="000F402A" w:rsidRPr="00162DA8">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w:t>
      </w:r>
      <w:r w:rsidR="00795009">
        <w:rPr>
          <w:rFonts w:ascii="Tahoma" w:hAnsi="Tahoma" w:cs="Tahoma"/>
          <w:sz w:val="24"/>
          <w:szCs w:val="24"/>
        </w:rPr>
        <w:t>kona o opštem upravnom postupku.</w:t>
      </w:r>
    </w:p>
    <w:p w:rsidR="000F402A" w:rsidRDefault="000F402A" w:rsidP="000F402A">
      <w:pPr>
        <w:pStyle w:val="NoSpacing"/>
        <w:spacing w:line="276" w:lineRule="auto"/>
        <w:jc w:val="both"/>
        <w:rPr>
          <w:rFonts w:ascii="Tahoma" w:hAnsi="Tahoma" w:cs="Tahoma"/>
          <w:sz w:val="24"/>
          <w:szCs w:val="24"/>
        </w:rPr>
      </w:pPr>
      <w:r w:rsidRPr="00162DA8">
        <w:rPr>
          <w:rFonts w:ascii="Tahoma" w:hAnsi="Tahoma" w:cs="Tahoma"/>
          <w:sz w:val="24"/>
          <w:szCs w:val="24"/>
        </w:rPr>
        <w:t>Savjet Agencije je cijenio i ostale navode iz žalbe, pa je našao da nijesu od uticaja za drugačije rješavanje u ovoj pravnoj stvari.</w:t>
      </w:r>
    </w:p>
    <w:p w:rsidR="000F402A" w:rsidRPr="00162DA8" w:rsidRDefault="000F402A" w:rsidP="000F402A">
      <w:pPr>
        <w:pStyle w:val="NoSpacing"/>
        <w:spacing w:line="276" w:lineRule="auto"/>
        <w:jc w:val="both"/>
        <w:rPr>
          <w:rFonts w:ascii="Tahoma" w:hAnsi="Tahoma" w:cs="Tahoma"/>
          <w:sz w:val="24"/>
          <w:szCs w:val="24"/>
          <w:lang w:val="sr-Latn-CS"/>
        </w:rPr>
      </w:pPr>
    </w:p>
    <w:p w:rsidR="00D84EDA" w:rsidRDefault="00D84EDA" w:rsidP="00814EEE">
      <w:pPr>
        <w:pStyle w:val="NoSpacing"/>
        <w:spacing w:line="276" w:lineRule="auto"/>
        <w:jc w:val="both"/>
        <w:rPr>
          <w:rFonts w:ascii="Tahoma" w:hAnsi="Tahoma" w:cs="Tahoma"/>
          <w:sz w:val="24"/>
          <w:szCs w:val="24"/>
        </w:rPr>
      </w:pPr>
    </w:p>
    <w:p w:rsidR="00D84EDA" w:rsidRDefault="00D84EDA" w:rsidP="00814EEE">
      <w:pPr>
        <w:pStyle w:val="NoSpacing"/>
        <w:spacing w:line="276" w:lineRule="auto"/>
        <w:jc w:val="both"/>
        <w:rPr>
          <w:rFonts w:ascii="Tahoma" w:hAnsi="Tahoma" w:cs="Tahoma"/>
          <w:sz w:val="24"/>
          <w:szCs w:val="24"/>
        </w:rPr>
      </w:pPr>
    </w:p>
    <w:p w:rsidR="00D84EDA" w:rsidRDefault="00D84EDA" w:rsidP="00814EEE">
      <w:pPr>
        <w:pStyle w:val="NoSpacing"/>
        <w:spacing w:line="276" w:lineRule="auto"/>
        <w:jc w:val="both"/>
        <w:rPr>
          <w:rFonts w:ascii="Tahoma" w:hAnsi="Tahoma" w:cs="Tahoma"/>
          <w:sz w:val="24"/>
          <w:szCs w:val="24"/>
        </w:rPr>
      </w:pPr>
    </w:p>
    <w:p w:rsidR="000F402A" w:rsidRPr="00814EEE" w:rsidRDefault="000F402A" w:rsidP="00814EEE">
      <w:pPr>
        <w:pStyle w:val="NoSpacing"/>
        <w:spacing w:line="276" w:lineRule="auto"/>
        <w:jc w:val="both"/>
        <w:rPr>
          <w:rFonts w:ascii="Tahoma" w:hAnsi="Tahoma" w:cs="Tahoma"/>
          <w:sz w:val="24"/>
          <w:szCs w:val="24"/>
        </w:rPr>
      </w:pPr>
      <w:r w:rsidRPr="00162DA8">
        <w:rPr>
          <w:rFonts w:ascii="Tahoma" w:hAnsi="Tahoma" w:cs="Tahoma"/>
          <w:sz w:val="24"/>
          <w:szCs w:val="24"/>
        </w:rPr>
        <w:t xml:space="preserve">Sa iznjetih razloga, shodno članu 38 Zakona o slobodnom pristupu informacijama i člana 237 stav 2 Zakona o opštem upravnom postupku, odlučeno je kao u izreci. </w:t>
      </w:r>
    </w:p>
    <w:p w:rsidR="000F402A" w:rsidRPr="0026217A" w:rsidRDefault="000F402A" w:rsidP="000F402A">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0F402A" w:rsidRDefault="000F402A" w:rsidP="000F402A">
      <w:pPr>
        <w:spacing w:after="0"/>
        <w:jc w:val="right"/>
        <w:rPr>
          <w:rFonts w:ascii="Tahoma" w:hAnsi="Tahoma" w:cs="Tahoma"/>
          <w:b/>
          <w:sz w:val="28"/>
          <w:szCs w:val="28"/>
        </w:rPr>
      </w:pPr>
      <w:r w:rsidRPr="00A657F5">
        <w:rPr>
          <w:rFonts w:ascii="Tahoma" w:hAnsi="Tahoma" w:cs="Tahoma"/>
          <w:b/>
          <w:sz w:val="28"/>
          <w:szCs w:val="28"/>
        </w:rPr>
        <w:t>SAVJET AGENCIJE:</w:t>
      </w:r>
    </w:p>
    <w:p w:rsidR="000F402A" w:rsidRDefault="000F402A" w:rsidP="000F402A">
      <w:pPr>
        <w:spacing w:after="0"/>
        <w:rPr>
          <w:rFonts w:ascii="Tahoma" w:hAnsi="Tahoma" w:cs="Tahoma"/>
          <w:b/>
          <w:sz w:val="28"/>
          <w:szCs w:val="28"/>
        </w:rPr>
      </w:pPr>
      <w:r>
        <w:rPr>
          <w:rFonts w:ascii="Tahoma" w:hAnsi="Tahoma" w:cs="Tahoma"/>
          <w:b/>
          <w:sz w:val="28"/>
          <w:szCs w:val="28"/>
        </w:rPr>
        <w:t xml:space="preserve">                                                                </w:t>
      </w:r>
    </w:p>
    <w:p w:rsidR="000F402A" w:rsidRDefault="000F402A" w:rsidP="000F402A">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0F402A" w:rsidRDefault="000F402A" w:rsidP="000F402A">
      <w:pPr>
        <w:spacing w:after="0"/>
        <w:rPr>
          <w:rFonts w:ascii="Tahoma" w:hAnsi="Tahoma" w:cs="Tahoma"/>
          <w:b/>
          <w:sz w:val="24"/>
          <w:szCs w:val="24"/>
        </w:rPr>
      </w:pPr>
    </w:p>
    <w:p w:rsidR="000F402A" w:rsidRPr="000F378A" w:rsidRDefault="000F402A" w:rsidP="000F402A">
      <w:pPr>
        <w:spacing w:after="0"/>
        <w:rPr>
          <w:rFonts w:ascii="Tahoma" w:hAnsi="Tahoma" w:cs="Tahoma"/>
          <w:sz w:val="24"/>
          <w:szCs w:val="24"/>
        </w:rPr>
      </w:pPr>
      <w:bookmarkStart w:id="0" w:name="_GoBack"/>
      <w:bookmarkEnd w:id="0"/>
    </w:p>
    <w:p w:rsidR="000F402A" w:rsidRDefault="000F402A" w:rsidP="000F402A"/>
    <w:p w:rsidR="000F402A" w:rsidRPr="005C5C98" w:rsidRDefault="000F402A" w:rsidP="000F402A"/>
    <w:p w:rsidR="00C31599" w:rsidRPr="009D4723" w:rsidRDefault="00C31599" w:rsidP="000F402A">
      <w:pPr>
        <w:pStyle w:val="NoSpacing"/>
        <w:rPr>
          <w:rFonts w:ascii="Tahoma" w:hAnsi="Tahoma" w:cs="Tahoma"/>
          <w:b/>
          <w:sz w:val="24"/>
          <w:szCs w:val="24"/>
        </w:rPr>
      </w:pPr>
    </w:p>
    <w:sectPr w:rsidR="00C31599" w:rsidRPr="009D472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48E" w:rsidRDefault="005D148E" w:rsidP="004C7646">
      <w:pPr>
        <w:spacing w:after="0" w:line="240" w:lineRule="auto"/>
      </w:pPr>
      <w:r>
        <w:separator/>
      </w:r>
    </w:p>
  </w:endnote>
  <w:endnote w:type="continuationSeparator" w:id="0">
    <w:p w:rsidR="005D148E" w:rsidRDefault="005D148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D148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5D148E"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48E" w:rsidRDefault="005D148E" w:rsidP="004C7646">
      <w:pPr>
        <w:spacing w:after="0" w:line="240" w:lineRule="auto"/>
      </w:pPr>
      <w:r>
        <w:separator/>
      </w:r>
    </w:p>
  </w:footnote>
  <w:footnote w:type="continuationSeparator" w:id="0">
    <w:p w:rsidR="005D148E" w:rsidRDefault="005D148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4E83"/>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394D"/>
    <w:rsid w:val="000F3EA2"/>
    <w:rsid w:val="000F402A"/>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07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41A"/>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1E18"/>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48E"/>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2376"/>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2CD4"/>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3EEC"/>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09"/>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4EEE"/>
    <w:rsid w:val="008175B1"/>
    <w:rsid w:val="008204F7"/>
    <w:rsid w:val="00824FAF"/>
    <w:rsid w:val="00825B99"/>
    <w:rsid w:val="00826CE5"/>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4002"/>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15CE"/>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01F4"/>
    <w:rsid w:val="00D82769"/>
    <w:rsid w:val="00D8348F"/>
    <w:rsid w:val="00D83F86"/>
    <w:rsid w:val="00D84EDA"/>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0A99"/>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9EB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4Bold">
    <w:name w:val="Body text (4) + Bold"/>
    <w:basedOn w:val="Bodytext4"/>
    <w:rsid w:val="000F402A"/>
    <w:rPr>
      <w:rFonts w:ascii="Trebuchet MS" w:eastAsia="Trebuchet MS" w:hAnsi="Trebuchet MS" w:cs="Trebuchet MS"/>
      <w:b/>
      <w:bCs/>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EFC00-543B-4D32-AE3D-910D8C66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3234</Words>
  <Characters>18435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54</cp:revision>
  <cp:lastPrinted>2018-01-19T10:34:00Z</cp:lastPrinted>
  <dcterms:created xsi:type="dcterms:W3CDTF">2018-01-21T09:55:00Z</dcterms:created>
  <dcterms:modified xsi:type="dcterms:W3CDTF">2019-06-05T06:26:00Z</dcterms:modified>
</cp:coreProperties>
</file>